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На правах рукописи</w:t>
      </w: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b/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b/>
          <w:sz w:val="28"/>
          <w:szCs w:val="28"/>
        </w:rPr>
      </w:pPr>
    </w:p>
    <w:p w:rsidR="00B135FB" w:rsidRDefault="00B135FB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B135FB" w:rsidRDefault="00B135FB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B135FB" w:rsidRDefault="00B135FB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115D4C" w:rsidRPr="008537C8" w:rsidRDefault="00115D4C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АВТОРЕФЕРАТ</w:t>
      </w:r>
    </w:p>
    <w:p w:rsidR="00115D4C" w:rsidRPr="008537C8" w:rsidRDefault="00115D4C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диссертации на соискание ученой степени кандидата экономических наук</w:t>
      </w: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ОСОБЕННОСТИ</w:t>
      </w:r>
      <w:r w:rsidR="00792042" w:rsidRPr="008537C8">
        <w:rPr>
          <w:sz w:val="28"/>
          <w:szCs w:val="28"/>
        </w:rPr>
        <w:t xml:space="preserve"> УПРАВЛЕНИЯ ФИНАНСОВЫМИ РИСКАМИ</w:t>
      </w: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ПРОИЗВОДСТВЕННЫХ ПРЕДПРИЯТИЙ</w:t>
      </w: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B135FB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115D4C" w:rsidRPr="00B135FB" w:rsidRDefault="00115D4C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115D4C" w:rsidRPr="008537C8" w:rsidRDefault="00115D4C" w:rsidP="00115D4C">
      <w:pPr>
        <w:widowControl w:val="0"/>
        <w:suppressAutoHyphens/>
        <w:spacing w:line="360" w:lineRule="auto"/>
        <w:ind w:firstLine="5103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Соколова Нелли Викторовна</w:t>
      </w: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B135FB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115D4C" w:rsidRPr="00B135FB" w:rsidRDefault="00115D4C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B135FB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</w:p>
    <w:p w:rsidR="00703FF5" w:rsidRPr="008537C8" w:rsidRDefault="00703FF5" w:rsidP="00115D4C">
      <w:pPr>
        <w:widowControl w:val="0"/>
        <w:suppressAutoHyphens/>
        <w:spacing w:line="360" w:lineRule="auto"/>
        <w:jc w:val="center"/>
        <w:rPr>
          <w:sz w:val="28"/>
          <w:szCs w:val="28"/>
        </w:rPr>
      </w:pPr>
      <w:r w:rsidRPr="008537C8">
        <w:rPr>
          <w:sz w:val="28"/>
          <w:szCs w:val="28"/>
        </w:rPr>
        <w:t>Краснодар−2007</w:t>
      </w:r>
    </w:p>
    <w:p w:rsidR="00703FF5" w:rsidRPr="00B135FB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</w:rPr>
        <w:br w:type="page"/>
      </w:r>
      <w:r w:rsidRPr="008537C8">
        <w:rPr>
          <w:sz w:val="28"/>
          <w:szCs w:val="28"/>
        </w:rPr>
        <w:lastRenderedPageBreak/>
        <w:t>Диссертация выполнена на кафедре экономического анализа, статистики и финансов Кубанского государственного университета</w:t>
      </w:r>
    </w:p>
    <w:p w:rsidR="00291DF2" w:rsidRPr="008537C8" w:rsidRDefault="00703FF5" w:rsidP="008537C8">
      <w:pPr>
        <w:pStyle w:val="2"/>
        <w:widowControl w:val="0"/>
        <w:suppressAutoHyphens/>
        <w:ind w:left="0" w:firstLine="709"/>
        <w:jc w:val="both"/>
      </w:pPr>
      <w:r w:rsidRPr="008537C8">
        <w:t>Научный руководитель</w:t>
      </w:r>
      <w:r w:rsidR="008537C8">
        <w:t>:</w:t>
      </w:r>
      <w:r w:rsidR="008537C8" w:rsidRPr="008537C8">
        <w:t xml:space="preserve"> </w:t>
      </w:r>
      <w:r w:rsidRPr="008537C8">
        <w:t>доктор экономических наук, доцент</w:t>
      </w:r>
      <w:r w:rsidR="008537C8" w:rsidRPr="008537C8">
        <w:t xml:space="preserve"> </w:t>
      </w:r>
      <w:r w:rsidRPr="008537C8">
        <w:t>Пенюгалова Александра Васильевна</w:t>
      </w:r>
    </w:p>
    <w:p w:rsidR="00703FF5" w:rsidRPr="008537C8" w:rsidRDefault="00703FF5" w:rsidP="008537C8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Официальные оппоненты</w:t>
      </w:r>
      <w:r w:rsidR="00792042" w:rsidRPr="008537C8">
        <w:rPr>
          <w:sz w:val="28"/>
          <w:szCs w:val="28"/>
        </w:rPr>
        <w:t>:</w:t>
      </w:r>
      <w:r w:rsidR="008537C8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доктор экономических наук, профессор</w:t>
      </w:r>
      <w:r w:rsidR="008537C8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Липчиу Нина Владимировна</w:t>
      </w:r>
      <w:r w:rsidR="008537C8" w:rsidRPr="008537C8">
        <w:rPr>
          <w:sz w:val="28"/>
          <w:szCs w:val="28"/>
        </w:rPr>
        <w:t xml:space="preserve">: </w:t>
      </w:r>
      <w:r w:rsidRPr="008537C8">
        <w:rPr>
          <w:sz w:val="28"/>
          <w:szCs w:val="28"/>
        </w:rPr>
        <w:t>кандидат экономических наук, доцент</w:t>
      </w:r>
      <w:r w:rsidR="008537C8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Заболоцкая Виктория Викторовна</w:t>
      </w:r>
    </w:p>
    <w:p w:rsidR="00703FF5" w:rsidRPr="008537C8" w:rsidRDefault="00703FF5" w:rsidP="008537C8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Ведущая организация</w:t>
      </w:r>
      <w:r w:rsidR="00115D4C" w:rsidRPr="008537C8">
        <w:rPr>
          <w:sz w:val="28"/>
          <w:szCs w:val="28"/>
        </w:rPr>
        <w:t>:</w:t>
      </w:r>
      <w:r w:rsidR="008537C8" w:rsidRPr="008537C8">
        <w:rPr>
          <w:sz w:val="28"/>
          <w:szCs w:val="28"/>
        </w:rPr>
        <w:t xml:space="preserve"> </w:t>
      </w:r>
      <w:r w:rsidR="00792042" w:rsidRPr="008537C8">
        <w:rPr>
          <w:sz w:val="28"/>
          <w:szCs w:val="28"/>
        </w:rPr>
        <w:t>Ставропольский государственный</w:t>
      </w:r>
      <w:r w:rsidR="00115D4C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университет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Защита состоится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9 ноября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 xml:space="preserve">2007 года в 13.00 часов на заседании диссертационного совета Д.212.101.05 по экономическим специальностям при Кубанском государственном университете по адресу: </w:t>
      </w:r>
      <w:smartTag w:uri="urn:schemas-microsoft-com:office:smarttags" w:element="metricconverter">
        <w:smartTagPr>
          <w:attr w:name="ProductID" w:val="350040, г"/>
        </w:smartTagPr>
        <w:r w:rsidRPr="008537C8">
          <w:rPr>
            <w:sz w:val="28"/>
            <w:szCs w:val="28"/>
          </w:rPr>
          <w:t>350040, г</w:t>
        </w:r>
      </w:smartTag>
      <w:r w:rsidRPr="008537C8">
        <w:rPr>
          <w:sz w:val="28"/>
          <w:szCs w:val="28"/>
        </w:rPr>
        <w:t>. Краснодар, ул. Ставропольская, 149,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ауд.</w:t>
      </w:r>
      <w:r w:rsidR="00115D4C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231.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С диссертацией можно ознакомиться в научной библиотеке Кубанского государственного факультета по адресу: </w:t>
      </w:r>
      <w:smartTag w:uri="urn:schemas-microsoft-com:office:smarttags" w:element="metricconverter">
        <w:smartTagPr>
          <w:attr w:name="ProductID" w:val="350040, г"/>
        </w:smartTagPr>
        <w:r w:rsidRPr="008537C8">
          <w:rPr>
            <w:sz w:val="28"/>
            <w:szCs w:val="28"/>
          </w:rPr>
          <w:t>350040, г</w:t>
        </w:r>
      </w:smartTag>
      <w:r w:rsidRPr="008537C8">
        <w:rPr>
          <w:sz w:val="28"/>
          <w:szCs w:val="28"/>
        </w:rPr>
        <w:t>. Краснодар, ул. Ставропольская, 149 (гл. корпус КубГУ, читальный зал).</w:t>
      </w:r>
    </w:p>
    <w:p w:rsidR="004740BA" w:rsidRDefault="004740BA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Автореферат разослан</w:t>
      </w:r>
      <w:r w:rsidR="008537C8">
        <w:rPr>
          <w:sz w:val="28"/>
          <w:szCs w:val="28"/>
        </w:rPr>
        <w:t xml:space="preserve"> "</w:t>
      </w:r>
      <w:r w:rsidR="008537C8" w:rsidRPr="004740BA">
        <w:rPr>
          <w:sz w:val="28"/>
          <w:szCs w:val="28"/>
        </w:rPr>
        <w:t>__</w:t>
      </w:r>
      <w:r w:rsidR="00291DF2" w:rsidRPr="008537C8">
        <w:rPr>
          <w:sz w:val="28"/>
          <w:szCs w:val="28"/>
        </w:rPr>
        <w:t xml:space="preserve">" </w:t>
      </w:r>
      <w:r w:rsidRPr="008537C8">
        <w:rPr>
          <w:sz w:val="28"/>
          <w:szCs w:val="28"/>
        </w:rPr>
        <w:t>октября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2007 года.</w:t>
      </w:r>
    </w:p>
    <w:p w:rsidR="004740BA" w:rsidRDefault="004740BA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Ученый секретарь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диссертационного совета</w:t>
      </w:r>
    </w:p>
    <w:p w:rsidR="00703FF5" w:rsidRPr="004740BA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доктор экономических наук, профессор</w:t>
      </w:r>
      <w:r w:rsidR="004740BA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С.Н. Трунин</w:t>
      </w:r>
    </w:p>
    <w:p w:rsidR="00115D4C" w:rsidRPr="004740BA" w:rsidRDefault="00115D4C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8537C8">
        <w:rPr>
          <w:sz w:val="28"/>
          <w:szCs w:val="28"/>
        </w:rPr>
        <w:br w:type="page"/>
      </w:r>
      <w:r w:rsidRPr="008537C8">
        <w:rPr>
          <w:b/>
          <w:sz w:val="28"/>
          <w:szCs w:val="28"/>
        </w:rPr>
        <w:lastRenderedPageBreak/>
        <w:t>ОБЩАЯ ХАРАКТЕРИСТИКА РАБОТЫ</w:t>
      </w:r>
    </w:p>
    <w:p w:rsidR="00B23766" w:rsidRPr="008537C8" w:rsidRDefault="00B23766" w:rsidP="00291DF2">
      <w:pPr>
        <w:widowControl w:val="0"/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Актуальность темы исследования</w:t>
      </w:r>
      <w:r w:rsidRPr="008537C8">
        <w:rPr>
          <w:sz w:val="28"/>
          <w:szCs w:val="28"/>
        </w:rPr>
        <w:t>. Финансово-хозяйственная деятельность предприятий в рыночной экономике связана с разнообразными предпринимательскими рисками, генерируемыми как внутренними условиями функционирования,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так и внешней средой.</w:t>
      </w:r>
    </w:p>
    <w:p w:rsidR="00703FF5" w:rsidRPr="008537C8" w:rsidRDefault="00703FF5" w:rsidP="00291DF2">
      <w:pPr>
        <w:pStyle w:val="a3"/>
        <w:widowControl w:val="0"/>
        <w:suppressAutoHyphens/>
      </w:pPr>
      <w:r w:rsidRPr="008537C8">
        <w:t>В системе предпринимательских рисков финансовые занимают особое место, так как связаны с финансовыми отношениями предприятия с другими субъектами рынка, более других подвержены влиянию внешней среды, которая в современных российских условиях остается непредсказуемой, а последствием финансовой несостоятельности может быть кризисное состояние и банкротство предприятия. В то же время производственные предприятия не могут воспользоваться многими инструментами управления различными видами финансовых рисков, которые успешно</w:t>
      </w:r>
      <w:r w:rsidR="00291DF2" w:rsidRPr="008537C8">
        <w:t xml:space="preserve"> </w:t>
      </w:r>
      <w:r w:rsidRPr="008537C8">
        <w:t>работают в других сферах предпринимательства</w:t>
      </w:r>
      <w:r w:rsidR="00291DF2" w:rsidRPr="008537C8">
        <w:t xml:space="preserve"> </w:t>
      </w:r>
      <w:r w:rsidRPr="008537C8">
        <w:t>(операции на фондовых, валютных, инвестиционных рынках и др.).</w:t>
      </w:r>
      <w:r w:rsidR="00291DF2" w:rsidRPr="008537C8">
        <w:t xml:space="preserve"> </w:t>
      </w:r>
      <w:r w:rsidRPr="008537C8">
        <w:t>Возможности снижения финансово-хозяйственных рисков у производственных предприятий ограничены по сравнению с</w:t>
      </w:r>
      <w:r w:rsidR="00291DF2" w:rsidRPr="008537C8">
        <w:t xml:space="preserve"> </w:t>
      </w:r>
      <w:r w:rsidRPr="008537C8">
        <w:t>валютными или фондовыми рынками, так как имеют четко заданные рамки отраслевой технологии, сферы</w:t>
      </w:r>
      <w:r w:rsidR="00291DF2" w:rsidRPr="008537C8">
        <w:t xml:space="preserve"> </w:t>
      </w:r>
      <w:r w:rsidRPr="008537C8">
        <w:t>деятельности, сырьевых ресурсов и др.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Таким образом, успешная деятельность производственных предприятий в условиях неопределенности, характерной для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рыночной системы хозяйствования, невозможна без совершенствования теоретических и практических основ эффективного управления финансовыми рисками.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Степень</w:t>
      </w:r>
      <w:r w:rsidR="00291DF2" w:rsidRPr="008537C8">
        <w:rPr>
          <w:b/>
          <w:sz w:val="28"/>
          <w:szCs w:val="28"/>
        </w:rPr>
        <w:t xml:space="preserve"> </w:t>
      </w:r>
      <w:r w:rsidRPr="008537C8">
        <w:rPr>
          <w:b/>
          <w:sz w:val="28"/>
          <w:szCs w:val="28"/>
        </w:rPr>
        <w:t>разработанности проблемы</w:t>
      </w:r>
      <w:r w:rsidRPr="008537C8">
        <w:rPr>
          <w:sz w:val="28"/>
          <w:szCs w:val="28"/>
        </w:rPr>
        <w:t xml:space="preserve">. Категорию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риск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 рассматривали представители различных экономических теорий: классической политэкономии (Дж. Милль, Н.У. Сениор), теории предельной полезности (А. Маршалл, А.</w:t>
      </w:r>
      <w:r w:rsidR="004302B3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 xml:space="preserve">Пигу), теории экономического развития (Й. Шумпетер),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кейсианской теории риска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 (Дж. М. Кейнс), теории игр (Дж. Фон Нейман, О. Моргинштерн) и др.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lastRenderedPageBreak/>
        <w:t>Понятие и сущность финансового риска, методы и инструменты управления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его видами отражены в работах отечественных ученых: П. Альгина, И.Т. Балабанова, И.А. Бланка, В.М. Гранатурова,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Р.М. Качалова, Г.Б. Клейнера, В.В. Ковалева, М. Лапуста, Е.С. Стояновой, Э.А. Уткина, Н.В. Хохлова, и др.</w:t>
      </w:r>
    </w:p>
    <w:p w:rsidR="00703FF5" w:rsidRPr="008537C8" w:rsidRDefault="00703FF5" w:rsidP="00291DF2">
      <w:pPr>
        <w:pStyle w:val="a3"/>
        <w:widowControl w:val="0"/>
        <w:suppressAutoHyphens/>
        <w:rPr>
          <w:szCs w:val="28"/>
        </w:rPr>
      </w:pPr>
      <w:r w:rsidRPr="008537C8">
        <w:rPr>
          <w:szCs w:val="28"/>
        </w:rPr>
        <w:t>Несмотря на множество научных публикаций, многие аспекты данной проблемы нуждаются в дальнейшем исследовании. Так, требуют углубленного изучения вопросы управления финансовыми рисками производственных предприятий, слабо разработанными в научной литературе остаются</w:t>
      </w:r>
      <w:r w:rsidR="00291DF2" w:rsidRPr="008537C8">
        <w:rPr>
          <w:szCs w:val="28"/>
        </w:rPr>
        <w:t xml:space="preserve"> </w:t>
      </w:r>
      <w:r w:rsidRPr="008537C8">
        <w:rPr>
          <w:szCs w:val="28"/>
        </w:rPr>
        <w:t>причины и факторы финансовой несостоятельности предпринимательских структур с учетом региональных и отраслевых особенностей, недостаточно исследованы проблемы формирования организационно-экономического механизма управления финансовыми рисками,</w:t>
      </w:r>
      <w:r w:rsidR="00291DF2" w:rsidRPr="008537C8">
        <w:rPr>
          <w:szCs w:val="28"/>
        </w:rPr>
        <w:t xml:space="preserve"> </w:t>
      </w:r>
      <w:r w:rsidRPr="008537C8">
        <w:rPr>
          <w:szCs w:val="28"/>
        </w:rPr>
        <w:t>недостаточно разработаны эффективные методы прогнозирования финансовой несостоятельности и банкротства предприятий реального сектора экономики. В выполненном исследовании предпринята попытка восполнить эти пробелы.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bCs/>
          <w:sz w:val="28"/>
          <w:szCs w:val="28"/>
        </w:rPr>
        <w:t>Целью диссертационной работы</w:t>
      </w:r>
      <w:r w:rsidRPr="008537C8">
        <w:rPr>
          <w:sz w:val="28"/>
          <w:szCs w:val="28"/>
        </w:rPr>
        <w:t xml:space="preserve"> является изучение сущности, роли и места финансовых рисков в системе предпринимательских рисков и формирование эффективной системы управления финансовыми рисками промышленного предприятия.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Поставленная цель обусловила решение следующих задач: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- исследовать теоретические аспекты понятия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риск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, уточнить определения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предпринимательский риск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,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финансовый риск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сравнить различные подходы к классификации финансовых рисков;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изучить теоретические разработки и практические рекомендации по формированию системы управления финансовыми рисками на предприятии;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уточнить принципы формирования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системы управления финансовыми рисками;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оценить влияние региональных факторов на уровень финансовых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lastRenderedPageBreak/>
        <w:t>рисков предприятий масложировой отрасли Краснодарского края;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разработать методику оценки финансового риска предприятия;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сформулировать методические указания по формированию системы управления финансовыми рисками на предприятиях масложирового комплекса Краснодарского края.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Предметом исследования</w:t>
      </w:r>
      <w:r w:rsidRPr="008537C8">
        <w:rPr>
          <w:sz w:val="28"/>
          <w:szCs w:val="28"/>
        </w:rPr>
        <w:t xml:space="preserve"> являются экономические отношения, возникающие на предприятиях производственных отраслей в процессе управления финансовыми рисками.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Объектом исследования</w:t>
      </w:r>
      <w:r w:rsidRPr="008537C8">
        <w:rPr>
          <w:sz w:val="28"/>
          <w:szCs w:val="28"/>
        </w:rPr>
        <w:t xml:space="preserve"> являются финансовые риски производственных предприятий, особенности оценки и управления ими на микроуровне.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Теоретическую и методологическую основу исследования</w:t>
      </w:r>
      <w:r w:rsidRPr="008537C8">
        <w:rPr>
          <w:sz w:val="28"/>
          <w:szCs w:val="28"/>
        </w:rPr>
        <w:t xml:space="preserve"> составляют труды отечественных и зарубежных ученых по проблемам управления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финансовыми рисками. Обоснование теоретических положений и аргументация выводов осуществлялись на основе таких научных методов, как: статистические, методы системного анализа, многомерные группировки, методы линейного программирования, диалектический метод познания экономических явлений, экономический и логический анализ и др.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Информационно-эмпирической базой исследования</w:t>
      </w:r>
      <w:r w:rsidRPr="008537C8">
        <w:rPr>
          <w:sz w:val="28"/>
          <w:szCs w:val="28"/>
        </w:rPr>
        <w:t xml:space="preserve"> послужили данные бухгалтерских отчетов предприятий масложирового комплекса АПК Краснодарского края, статистические данные Федеральной службы государственной статистики по Краснодарскому краю; результаты монографических исследований отечественных и зарубежных ученых, а также материалы международных и региональных научно-практических конференций по изучаемой проблеме.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537C8">
        <w:rPr>
          <w:b/>
          <w:bCs/>
          <w:sz w:val="28"/>
          <w:szCs w:val="28"/>
        </w:rPr>
        <w:t>Основные положения диссертации, выносимые на защиту.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1. Предпринимательский риск – это ситуационная характеристика деятельности предприятия на основе определения вероятностей случайных событий, влияющих на финансово – хозяйственное положение предприятия 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возникающих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 объективным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и субъективным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причинам.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 xml:space="preserve">С одной стороны, </w:t>
      </w:r>
      <w:r w:rsidRPr="008537C8">
        <w:rPr>
          <w:sz w:val="28"/>
          <w:szCs w:val="28"/>
        </w:rPr>
        <w:lastRenderedPageBreak/>
        <w:t>риск – это характеристика среды, в которой действует предприятие, с другой –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это явление,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обусловленное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деятельностью предприятия и других субъектов экономического пространства.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  <w:szCs w:val="28"/>
        </w:rPr>
        <w:t>2.</w:t>
      </w:r>
      <w:r w:rsidRPr="008537C8">
        <w:rPr>
          <w:sz w:val="28"/>
        </w:rPr>
        <w:t xml:space="preserve"> Финансовыми рисками можно назвать риски, которые возникают в процессе формирования и движения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 xml:space="preserve">финансовых ресурсов и денежных потоков. В данном определении, в отличие от современных научных представлений, отражается возможность возникновения финансового риска не только при формировании финансовых ресурсов, но в процессе их распределения и использования. Введение в определение понятия </w:t>
      </w:r>
      <w:r w:rsidR="00291DF2" w:rsidRPr="008537C8">
        <w:rPr>
          <w:sz w:val="28"/>
        </w:rPr>
        <w:t>"</w:t>
      </w:r>
      <w:r w:rsidRPr="008537C8">
        <w:rPr>
          <w:sz w:val="28"/>
        </w:rPr>
        <w:t>денежные потоки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 акцентирует внимание на тот факт, что финансовые риски часто представляют собой функцию времени. Классификация финансовых рисков должна проводиться на основе системного подхода, т.е. следует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рассматривать совокупность рисков как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множество взаимосвязанных элементов. Иерархическая структура классифицируемых рисков должна отражать системные взаимосвязи между изучаемыми элементами, четко отграничивать риски разных уровней исследования и сочетаться с общей системой управления предприятием. Это позволяет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использовать классификацию как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для научных, но и практических целей, в частности, для выявления и количественной оценки финансовых рисков.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</w:rPr>
        <w:t>3.</w:t>
      </w:r>
      <w:r w:rsidRPr="008537C8">
        <w:rPr>
          <w:sz w:val="28"/>
          <w:szCs w:val="28"/>
        </w:rPr>
        <w:t xml:space="preserve"> Для создания на предприятии эффективной системы управления финансовыми рисками, адекватной внешней и внутренней среде,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необходимо сформулировать основные принципы ее построения. На основе изучения и развития автором российского и зарубежного опыта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 работе выделены следующие принципы менеджмента финансовыми рисками: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комплексный подход к управлению,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из которого следует необходимость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построения единого показателя, характеризующего совокупное влияние всех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видов финансовых рисков (индикатор общего финансового риска); построение методики идентификации, анализа и контроля финансовых рисков; создание нормативно-правового обеспечения системы управления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 xml:space="preserve">рисками; единообразие и преемственность понятийного аппарата, классификаций и </w:t>
      </w:r>
      <w:r w:rsidRPr="008537C8">
        <w:rPr>
          <w:sz w:val="28"/>
          <w:szCs w:val="28"/>
        </w:rPr>
        <w:lastRenderedPageBreak/>
        <w:t>процедур на всех этапах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менеджмента финансовыми рисками.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4. Интегрированное влияние финансовых рисков на хозяйственную деятельность отражается в характере финансового состояния предприятия. Неблагоприятное воздействие финансовых рисков проявляется в ухудшении финансового состояния, которое в дальнейшем может привести к финансовой несостоятельности, крайним проявлением которой считается банкротство. Таким образом, совокупный финансовый риск можно оценить посредством анализа финансового состояния и прогнозирования банкротства. В качестве обобщающего показателя финансового риска автором предложена дискриминантная модель, которая по итогам отбора из 17 априори выбранных исходных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показателей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включает три статистически значимых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индикатора, влияющих на вероятность банкротства: доля чистого оборотного капитала в активах, коэффициент финансирования, рентабельность активов по нераспределенной прибыли. Точность данной модели, рассчитанной по 63 предприятиям масложировой промышленности Краснодарского края, составляет 79,4% (по другим моделям банкротства точность расчетов по тем же предприятиям не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превысила 70,8%).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537C8">
        <w:rPr>
          <w:sz w:val="28"/>
        </w:rPr>
        <w:t>5.</w:t>
      </w:r>
      <w:r w:rsidR="004302B3" w:rsidRPr="008537C8">
        <w:rPr>
          <w:sz w:val="28"/>
        </w:rPr>
        <w:t xml:space="preserve"> </w:t>
      </w:r>
      <w:r w:rsidRPr="008537C8">
        <w:rPr>
          <w:bCs/>
          <w:sz w:val="28"/>
        </w:rPr>
        <w:t>В процессе прогнозирования</w:t>
      </w:r>
      <w:r w:rsidR="00291DF2" w:rsidRPr="008537C8">
        <w:rPr>
          <w:bCs/>
          <w:sz w:val="28"/>
        </w:rPr>
        <w:t xml:space="preserve"> </w:t>
      </w:r>
      <w:r w:rsidRPr="008537C8">
        <w:rPr>
          <w:bCs/>
          <w:sz w:val="28"/>
        </w:rPr>
        <w:t xml:space="preserve">финансовой несостоятельности российских предприятий необходимо учитывать </w:t>
      </w:r>
      <w:r w:rsidRPr="008537C8">
        <w:rPr>
          <w:bCs/>
          <w:sz w:val="28"/>
          <w:szCs w:val="28"/>
        </w:rPr>
        <w:t>влияние внешних факторов, которое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 xml:space="preserve">в российских условиях намного выше, чем в условиях развитой рыночной экономики. </w:t>
      </w:r>
      <w:r w:rsidRPr="008537C8">
        <w:rPr>
          <w:bCs/>
          <w:sz w:val="28"/>
        </w:rPr>
        <w:t>Б</w:t>
      </w:r>
      <w:r w:rsidRPr="008537C8">
        <w:rPr>
          <w:bCs/>
          <w:sz w:val="28"/>
          <w:szCs w:val="28"/>
        </w:rPr>
        <w:t>анкротство многих российских организаций связано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в основном с системой неплатежей, обусловленной внешними, практически не контролируемыми факторами, которые проявляются, прежде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всего, в региональных и отраслевых рисках. Для интегральной оценки их уровня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в диссертационном исследовании предлагается балльная оценка системы показателей, характеризующих данные риски.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537C8">
        <w:rPr>
          <w:bCs/>
          <w:sz w:val="28"/>
          <w:szCs w:val="28"/>
        </w:rPr>
        <w:t>6.</w:t>
      </w:r>
      <w:r w:rsidR="004302B3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Общая система управления финансовыми рисками промышленного предприятия, направленная на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изучение, анализ и снижение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их негативного воздействия на финансовое состояние,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 xml:space="preserve">включает 5 основных блока: идентификация рисков, их анализ и оценка, выбор методов воздействия, </w:t>
      </w:r>
      <w:r w:rsidRPr="008537C8">
        <w:rPr>
          <w:bCs/>
          <w:sz w:val="28"/>
          <w:szCs w:val="28"/>
        </w:rPr>
        <w:lastRenderedPageBreak/>
        <w:t>механизм применения методов воздействия на снижение финансовых рисков, контроль использования совокупности выбранных инструментов. Для определения степени влияния каждого вида финансового риска на финансовое состояние предприятия в работе рекомендуется составление портфеля идентифицированных видов финансовых рисков. На этапе выбора метода воздействия на риски целесообразно применение карты риск-менеджмента, в которой по каждому виду риска дана характеристика его влияния на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финансово-хозяйственную деятельность предприятия и указаны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методы</w:t>
      </w:r>
      <w:r w:rsidR="00291DF2" w:rsidRPr="008537C8">
        <w:rPr>
          <w:bCs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управления данным видом риска.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 xml:space="preserve">Научная новизна исследования </w:t>
      </w:r>
      <w:r w:rsidRPr="008537C8">
        <w:rPr>
          <w:sz w:val="28"/>
          <w:szCs w:val="28"/>
        </w:rPr>
        <w:t>в целом состоит в разработке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теоретических и практических положений, направленных на решение проблем, связанных с управлением финансовыми рисками производственных предприятий.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Элементами научного вклада, характеризующими новизну исследования, являются следующие результаты:</w:t>
      </w:r>
    </w:p>
    <w:p w:rsidR="00703FF5" w:rsidRPr="008537C8" w:rsidRDefault="00703FF5" w:rsidP="00291DF2">
      <w:pPr>
        <w:pStyle w:val="3"/>
        <w:widowControl w:val="0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- уточнено понятие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предпринимательский риск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 как двойственной категории: с одной стороны, это характеристика среды, в которой действует предприятие, с другой -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явление, генерируемое деятельностью самого предприятия во взаимодействии с другими субъектами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рыночной экономики;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данное определение риска позволяет рассматривать его как постоянно изменяющийся, динамичный аспект деятельности предприятия, требующий адекватной оценки;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  <w:szCs w:val="28"/>
        </w:rPr>
        <w:t>- дополнено понятие</w:t>
      </w:r>
      <w:r w:rsidRPr="008537C8">
        <w:rPr>
          <w:sz w:val="28"/>
        </w:rPr>
        <w:t xml:space="preserve"> </w:t>
      </w:r>
      <w:r w:rsidR="00291DF2" w:rsidRPr="008537C8">
        <w:rPr>
          <w:sz w:val="28"/>
        </w:rPr>
        <w:t>"</w:t>
      </w:r>
      <w:r w:rsidRPr="008537C8">
        <w:rPr>
          <w:sz w:val="28"/>
        </w:rPr>
        <w:t>финансовые риски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 введением в сферу их возникновения процессов движения финансовых ресурсов и денежных потоков предприятия, что, в отличие от современных подходов, позволяет рассматривать финансовые риски как функцию времени и максимально полно учесть множественные аспекты их проявления в риск-менеджменте;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обобщены и дополнены принципы формирования системы управления финансовыми рисками производственных предприятий, которые наряду с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комплексным подходом и</w:t>
      </w:r>
      <w:r w:rsidRPr="008537C8">
        <w:rPr>
          <w:sz w:val="28"/>
        </w:rPr>
        <w:t xml:space="preserve"> нормативно-методическим обеспечением, </w:t>
      </w:r>
      <w:r w:rsidRPr="008537C8">
        <w:rPr>
          <w:sz w:val="28"/>
        </w:rPr>
        <w:lastRenderedPageBreak/>
        <w:t>должны включать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оценку общего финансового риска,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единообразие и преемственность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понятий, классификаций и процедур на всех этапах управления финансовыми рисками, что</w:t>
      </w:r>
      <w:r w:rsidRPr="008537C8">
        <w:rPr>
          <w:sz w:val="28"/>
        </w:rPr>
        <w:t xml:space="preserve"> создаёт теоретическую основу формирования </w:t>
      </w:r>
      <w:r w:rsidRPr="008537C8">
        <w:rPr>
          <w:sz w:val="28"/>
          <w:szCs w:val="28"/>
        </w:rPr>
        <w:t>эффективной системы управления финансовыми рисками, адекватной внешней и внутренней среде;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разработана и апробирована на предприятиях масложирового комплекса Краснодарского края дискриминантная модель прогнозирования финансового состояния, которая в отличие от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современных западных и отечественных моделей учитывает не только факторы внешней среды,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но 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специфику отрасли, и является эффективным инструментом прогнозирования банкротства промышленных предприятий;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для оценки внешней среды функционирования предприятия предложена система балльной оценки влияния региональных факторов на финансовые риски, включающая пять блоков показателей (уровень предпринимательской активности, состояние потребительского рынка в регионе, социально-демографическая ситуация, региональная нормативно-правовая база), что позволяет дать комплексную оценку экзогенных факторов;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- в соответствии с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разработанными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принципами организации управления финансовыми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рисками составлены методические указания по построению системы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менеджмента финансовыми рисками на предприятии, которые включают описание этапов, процедур управления и нормативно-методическое обеспечение.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Теоретическая и практическая значимость</w:t>
      </w:r>
      <w:r w:rsidR="00291DF2" w:rsidRPr="008537C8">
        <w:rPr>
          <w:b/>
          <w:sz w:val="28"/>
          <w:szCs w:val="28"/>
        </w:rPr>
        <w:t xml:space="preserve"> </w:t>
      </w:r>
      <w:r w:rsidRPr="008537C8">
        <w:rPr>
          <w:bCs/>
          <w:sz w:val="28"/>
          <w:szCs w:val="28"/>
        </w:rPr>
        <w:t>исследования</w:t>
      </w:r>
      <w:r w:rsidRPr="008537C8">
        <w:rPr>
          <w:sz w:val="28"/>
          <w:szCs w:val="28"/>
        </w:rPr>
        <w:t xml:space="preserve"> состоит в возможности использования разработанной системы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менеджмента финансовыми рисками в процессе управления финансово-хозяйственной деятельностью промышленных предприятий и при разработке отраслевых инструкций по управлению финансовыми рисками.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Отдельные положения,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выводы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 xml:space="preserve">и предложения, изложенные в работе, могут быть использованы при подготовке учебно-методических материалов </w:t>
      </w:r>
      <w:r w:rsidRPr="008537C8">
        <w:rPr>
          <w:sz w:val="28"/>
          <w:szCs w:val="28"/>
        </w:rPr>
        <w:lastRenderedPageBreak/>
        <w:t>для обеспечения учебного процесса в вузах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 xml:space="preserve">по курсам: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Управление финансовыми рисками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,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Прогнозирование банкротства и несостоятельности промышленных предприятий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Апробация результатов исследования</w:t>
      </w:r>
      <w:r w:rsidRPr="008537C8">
        <w:rPr>
          <w:sz w:val="28"/>
          <w:szCs w:val="28"/>
        </w:rPr>
        <w:t>. Основные положения, выводы и рекомендации, сформулированные в диссертации, докладывались автором на международной и двух всероссийских научно-практических конференциях. Выводы и рекомендации, полученные автором, получили практическое применение при разработке финансовой стратегии развития предприятий масложировой отрасли Краснодарского края.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По материалам диссертации опубликовано пять научных работ, общим объемом 1,3 п.л.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8537C8">
        <w:rPr>
          <w:b/>
          <w:sz w:val="28"/>
          <w:szCs w:val="28"/>
        </w:rPr>
        <w:t>Объем и структура работы</w:t>
      </w:r>
      <w:r w:rsidRPr="008537C8">
        <w:rPr>
          <w:sz w:val="28"/>
          <w:szCs w:val="28"/>
        </w:rPr>
        <w:t>. Структура работы определена в соответствии с поставленными целями и задачами исследования и состоит из введения, трех глав, заключения, списка использованных источников из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147 наименований, и 12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bCs/>
          <w:iCs/>
          <w:sz w:val="28"/>
          <w:szCs w:val="28"/>
        </w:rPr>
        <w:t>приложений</w:t>
      </w:r>
      <w:r w:rsidRPr="008537C8">
        <w:rPr>
          <w:sz w:val="28"/>
          <w:szCs w:val="28"/>
        </w:rPr>
        <w:t xml:space="preserve">. Работа изложена на </w:t>
      </w:r>
      <w:r w:rsidRPr="008537C8">
        <w:rPr>
          <w:bCs/>
          <w:iCs/>
          <w:sz w:val="28"/>
          <w:szCs w:val="28"/>
        </w:rPr>
        <w:t>170</w:t>
      </w:r>
      <w:r w:rsidRPr="008537C8">
        <w:rPr>
          <w:sz w:val="28"/>
          <w:szCs w:val="28"/>
        </w:rPr>
        <w:t xml:space="preserve"> страницах компьютерного печатного текста, содержит 4 рисунка и 18 таблиц.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8537C8">
        <w:rPr>
          <w:b/>
          <w:sz w:val="28"/>
          <w:szCs w:val="28"/>
        </w:rPr>
        <w:t>ОСНОВНОЕ СОДЕРЖАНИЕ РАБОТЫ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>Во введении</w:t>
      </w:r>
      <w:r w:rsidRPr="008537C8">
        <w:rPr>
          <w:sz w:val="28"/>
          <w:szCs w:val="28"/>
        </w:rPr>
        <w:t xml:space="preserve"> обоснована актуальность темы диссертационного исследования, дана характеристика степени разработанности проблемы в научной литературе, определены цель и задачи работы, раскрыты научная новизна, теоретическая и практическая значимость диссертации, сформулированы основные научные положения, выносимые на защиту.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b/>
          <w:sz w:val="28"/>
          <w:szCs w:val="28"/>
        </w:rPr>
        <w:t>Первая глава</w:t>
      </w:r>
      <w:r w:rsidRPr="008537C8">
        <w:rPr>
          <w:sz w:val="28"/>
          <w:szCs w:val="28"/>
        </w:rPr>
        <w:t xml:space="preserve">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</w:rPr>
        <w:t>Теоретические основы управления финансовыми рисками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 посвящена раскрытию понятий </w:t>
      </w:r>
      <w:r w:rsidR="00291DF2" w:rsidRPr="008537C8">
        <w:rPr>
          <w:sz w:val="28"/>
        </w:rPr>
        <w:t>"</w:t>
      </w:r>
      <w:r w:rsidRPr="008537C8">
        <w:rPr>
          <w:sz w:val="28"/>
        </w:rPr>
        <w:t>предпринимательский риск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, </w:t>
      </w:r>
      <w:r w:rsidR="00291DF2" w:rsidRPr="008537C8">
        <w:rPr>
          <w:sz w:val="28"/>
        </w:rPr>
        <w:t>"</w:t>
      </w:r>
      <w:r w:rsidRPr="008537C8">
        <w:rPr>
          <w:sz w:val="28"/>
        </w:rPr>
        <w:t>финансовый риск</w:t>
      </w:r>
      <w:r w:rsidR="00291DF2" w:rsidRPr="008537C8">
        <w:rPr>
          <w:sz w:val="28"/>
        </w:rPr>
        <w:t>"</w:t>
      </w:r>
      <w:r w:rsidRPr="008537C8">
        <w:rPr>
          <w:sz w:val="28"/>
        </w:rPr>
        <w:t>; определено место финансовых рисков в системе предпринимательских рисков; разработана классификация финансовых рисков производственных предприятий; сформулированы принципы построения системы управления финансовыми рисками хозяйствующего субъекта.</w:t>
      </w:r>
    </w:p>
    <w:p w:rsidR="00291DF2" w:rsidRPr="008537C8" w:rsidRDefault="00703FF5" w:rsidP="00291DF2">
      <w:pPr>
        <w:pStyle w:val="3"/>
        <w:widowControl w:val="0"/>
        <w:suppressAutoHyphens/>
        <w:spacing w:after="0" w:line="360" w:lineRule="auto"/>
        <w:ind w:left="0" w:firstLine="709"/>
        <w:jc w:val="both"/>
        <w:rPr>
          <w:sz w:val="28"/>
        </w:rPr>
      </w:pPr>
      <w:r w:rsidRPr="008537C8">
        <w:rPr>
          <w:sz w:val="28"/>
          <w:szCs w:val="28"/>
        </w:rPr>
        <w:t xml:space="preserve">Изучение современных теоретических подходов к понятию 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>риск</w:t>
      </w:r>
      <w:r w:rsidR="00291DF2" w:rsidRPr="008537C8">
        <w:rPr>
          <w:sz w:val="28"/>
          <w:szCs w:val="28"/>
        </w:rPr>
        <w:t>"</w:t>
      </w:r>
      <w:r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lastRenderedPageBreak/>
        <w:t>позволило выделить ряд направлений к пониманию сущности данной категории:</w:t>
      </w:r>
      <w:r w:rsidRPr="008537C8">
        <w:rPr>
          <w:sz w:val="28"/>
        </w:rPr>
        <w:t xml:space="preserve"> возможность (вероятность) наступления неблагоприятного события; отклонение от каких либо плановых или ожидаемых показателей; ситуационная характеристика деятельности любого предприятия; случайное событие, наносящее ущерб объекту, обладающему данным риском; </w:t>
      </w:r>
      <w:r w:rsidRPr="008537C8">
        <w:rPr>
          <w:sz w:val="28"/>
          <w:szCs w:val="28"/>
        </w:rPr>
        <w:t>действие и</w:t>
      </w:r>
      <w:r w:rsidRPr="008537C8">
        <w:rPr>
          <w:sz w:val="28"/>
        </w:rPr>
        <w:t>ли выбор, в результате которого существует реальная возможность получения неопределенных результатов различного характера, как положительно, так и отрицательно влияющих на финансово-хозяйственную деятельность предприятия.</w:t>
      </w:r>
    </w:p>
    <w:p w:rsidR="00703FF5" w:rsidRPr="008537C8" w:rsidRDefault="00703FF5" w:rsidP="00291DF2">
      <w:pPr>
        <w:widowControl w:val="0"/>
        <w:tabs>
          <w:tab w:val="left" w:pos="9355"/>
        </w:tabs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Ключевым понятием в данной группе определений является вероятность или возможность. Вероятность события – это его математический признак, означающий возможность рассчитать частоту наступления события при наличии достаточного количества наблюдений.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Безусловно, риск имеет вероятностный характер, но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вероятность не может по своей сути быть определением риска. По нашему мнению, в данном случае смешиваются понятия риска и его меры (оценки).</w:t>
      </w:r>
    </w:p>
    <w:p w:rsidR="00703FF5" w:rsidRPr="008537C8" w:rsidRDefault="00703FF5" w:rsidP="00291DF2">
      <w:pPr>
        <w:widowControl w:val="0"/>
        <w:tabs>
          <w:tab w:val="left" w:pos="9355"/>
        </w:tabs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Если определять риск как возможность положительного или отрицательного отклонения в процессе деятельности от ожидаемых или плановых значений, то это означает, что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субъект, который занимается деятельностью,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связанной с риском или наборам рисков, должен понимать ситуацию и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предвидеть возможные последствия. Если нет возможности предугадывать,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то нет проблем с риском. Только тот, кто прогнозирует, имеет право говорить о риске. Отсюда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следует, что риск является прогностической категорией. Такая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точка зрения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игнорирует все многообразные непредсказуемые виды риска. Тем более, как только речь заходит о прогнозах, сразу встает вопрос об их качестве, о возможности предсказания, и возникает необходимость учета риска ошибочности самого прогноза.</w:t>
      </w:r>
    </w:p>
    <w:p w:rsidR="00703FF5" w:rsidRPr="008537C8" w:rsidRDefault="00703FF5" w:rsidP="00291DF2">
      <w:pPr>
        <w:widowControl w:val="0"/>
        <w:tabs>
          <w:tab w:val="left" w:pos="9355"/>
        </w:tabs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 xml:space="preserve">Часто определение риска раскрывается через понятие </w:t>
      </w:r>
      <w:r w:rsidR="00291DF2" w:rsidRPr="008537C8">
        <w:rPr>
          <w:sz w:val="28"/>
        </w:rPr>
        <w:t>"</w:t>
      </w:r>
      <w:r w:rsidRPr="008537C8">
        <w:rPr>
          <w:sz w:val="28"/>
        </w:rPr>
        <w:t>ситуация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. С одной стороны, рассматривая ситуацию как совокупность обстоятельств, </w:t>
      </w:r>
      <w:r w:rsidRPr="008537C8">
        <w:rPr>
          <w:sz w:val="28"/>
        </w:rPr>
        <w:lastRenderedPageBreak/>
        <w:t>которые развиваются во времени и пространстве и имеют определенные последствия, риск можно представить как совокупность обстоятельств – источников риска.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 xml:space="preserve">Однако, в этом определение не раскрывается сущность понятия </w:t>
      </w:r>
      <w:r w:rsidR="00291DF2" w:rsidRPr="008537C8">
        <w:rPr>
          <w:sz w:val="28"/>
        </w:rPr>
        <w:t>"</w:t>
      </w:r>
      <w:r w:rsidRPr="008537C8">
        <w:rPr>
          <w:sz w:val="28"/>
        </w:rPr>
        <w:t>риск</w:t>
      </w:r>
      <w:r w:rsidR="00291DF2" w:rsidRPr="008537C8">
        <w:rPr>
          <w:sz w:val="28"/>
        </w:rPr>
        <w:t>"</w:t>
      </w:r>
      <w:r w:rsidRPr="008537C8">
        <w:rPr>
          <w:sz w:val="28"/>
        </w:rPr>
        <w:t>, его отличия от прочих обстоятельств, в которых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функционирует предприятие.</w:t>
      </w:r>
    </w:p>
    <w:p w:rsidR="00703FF5" w:rsidRPr="008537C8" w:rsidRDefault="00703FF5" w:rsidP="00291DF2">
      <w:pPr>
        <w:widowControl w:val="0"/>
        <w:tabs>
          <w:tab w:val="left" w:pos="9355"/>
        </w:tabs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Ключевым понятием в определении риска как случайного события, наносящего ущерб объекту, обладающему данным риском, является случайность, т.е. невозможность точно определить время и место его возникновения. Между тем,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случайность - только одна сторона характеристики риска.</w:t>
      </w:r>
    </w:p>
    <w:p w:rsidR="00703FF5" w:rsidRPr="008537C8" w:rsidRDefault="00703FF5" w:rsidP="00291DF2">
      <w:pPr>
        <w:pStyle w:val="3"/>
        <w:widowControl w:val="0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По нашему мнению,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риск – это ситуационная характеристика деятельности предприятия на основе определения вероятностей случайных событий, влияющих на финансово – хозяйственное положение предприятия и происходящих по объективны и субъективным причинам. Таким образом, с одной стороны риск – это характеристика среды, в которой действует предприятие, с другой - риск – это явление, возникающее в процессе хозяйственной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деятельности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предприятия и других субъектов экономического пространства.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  <w:szCs w:val="28"/>
        </w:rPr>
        <w:t>В современной финансово-экономической литературе приведены различные определения финансового риска, которые трактуют финансовый риск либо очень узко, как невыполнение фирмой своих финансовых обязательств, либо неоправданно широко, как вероятность отклонений фактического дохода от ожидаемого.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 xml:space="preserve">По нашему мнению, финансовыми рисками можно назвать риски, которые возникают в процессе формирования и движения (распределения, перераспределения и использования) капитала, доходов, фондов, резервов и других денежных источников средств предприятия, т.е. его финансовых ресурсов и денежных потоков. Это определение не ограничивает сферу возникновения финансовых рисков только областью заемных или собственных средств, оно не рассматривает финансовый риск ссужено, как </w:t>
      </w:r>
      <w:r w:rsidRPr="008537C8">
        <w:rPr>
          <w:sz w:val="28"/>
        </w:rPr>
        <w:lastRenderedPageBreak/>
        <w:t>уровень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 xml:space="preserve">отклонения фактического дохода, полученного предприятием, от ожидаемого, а также предусматривает возможность возникновения финансового риска не только при формировании финансовых ресурсов, но и в процессе их распределения и использования. Введение в определение понятия </w:t>
      </w:r>
      <w:r w:rsidR="00291DF2" w:rsidRPr="008537C8">
        <w:rPr>
          <w:sz w:val="28"/>
        </w:rPr>
        <w:t>"</w:t>
      </w:r>
      <w:r w:rsidRPr="008537C8">
        <w:rPr>
          <w:sz w:val="28"/>
        </w:rPr>
        <w:t>денежные потоки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 расширяет, дополняет понятие финансового риска как функцию времени.</w:t>
      </w:r>
    </w:p>
    <w:p w:rsidR="00291DF2" w:rsidRPr="008537C8" w:rsidRDefault="00703FF5" w:rsidP="00291DF2">
      <w:pPr>
        <w:pStyle w:val="a3"/>
        <w:widowControl w:val="0"/>
        <w:suppressAutoHyphens/>
      </w:pPr>
      <w:r w:rsidRPr="008537C8">
        <w:t>Важным условием эффективного управления финансовыми рисками</w:t>
      </w:r>
      <w:r w:rsidR="00291DF2" w:rsidRPr="008537C8">
        <w:t xml:space="preserve"> </w:t>
      </w:r>
      <w:r w:rsidRPr="008537C8">
        <w:t>является их четкая классификация.</w:t>
      </w:r>
      <w:r w:rsidR="00291DF2" w:rsidRPr="008537C8">
        <w:t xml:space="preserve"> </w:t>
      </w:r>
      <w:r w:rsidRPr="008537C8">
        <w:t>При</w:t>
      </w:r>
      <w:r w:rsidR="00291DF2" w:rsidRPr="008537C8">
        <w:t xml:space="preserve"> </w:t>
      </w:r>
      <w:r w:rsidRPr="008537C8">
        <w:t>построении классификации рисков последние необходимо рассматривать</w:t>
      </w:r>
      <w:r w:rsidR="00291DF2" w:rsidRPr="008537C8">
        <w:t xml:space="preserve"> </w:t>
      </w:r>
      <w:r w:rsidRPr="008537C8">
        <w:t>как целостную совокупность, систему, в которой каждый риск занимает</w:t>
      </w:r>
      <w:r w:rsidR="00291DF2" w:rsidRPr="008537C8">
        <w:t xml:space="preserve"> </w:t>
      </w:r>
      <w:r w:rsidRPr="008537C8">
        <w:t>определенное место и в то же время подчиняется общим законам экономической системы (системы рисков) в целом.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По нашему мнению, классификация рисков должна проводиться на основе системного подхода, т.е. следует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рассматривать совокупность рисков как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множество взаимосвязанных элементов. Иерархическая структура классифицируемых рисков должна не только отражать системные взаимосвязи между изучаемыми элементами, но и не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допускать пересечения рисков разных уровней рассмотрения. Данная система должна сочетаться с управленческой системой предприятия для использования классификации не только в научной,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но и практической деятельности, в частности, для выявления и количественной оценки рисков.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Основу классификации, представленной автором в диссертационном исследовании, составляет разделение финансовых рисков на внутренние и внешние.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Эти группы рисков отличаются методами идентификации, возможностями оценки и характером воздействия на финансово-хозяйственную систему промышленного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предприятия(рисунок 1).</w:t>
      </w:r>
    </w:p>
    <w:p w:rsidR="004302B3" w:rsidRPr="008537C8" w:rsidRDefault="004302B3" w:rsidP="004302B3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На современном этапе экономического развития в России резко усиливается действие факторов риска, особенно финансовых, что обусловлено развитием рыночных механизмов, усилением конкуренции, возрастающей хозяйственной самостоятельностью предприятий при </w:t>
      </w:r>
      <w:r w:rsidRPr="008537C8">
        <w:rPr>
          <w:sz w:val="28"/>
          <w:szCs w:val="28"/>
        </w:rPr>
        <w:lastRenderedPageBreak/>
        <w:t>практическом отсутствии методов государственного регулирования экономики. В этих условиях создание эффективной системы управления рисками на предприятиях становится жизненно необходимым.</w:t>
      </w:r>
    </w:p>
    <w:p w:rsidR="004302B3" w:rsidRPr="00B135FB" w:rsidRDefault="004302B3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</w:p>
    <w:p w:rsidR="00703FF5" w:rsidRPr="008537C8" w:rsidRDefault="003420EB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</w:r>
      <w:r>
        <w:rPr>
          <w:sz w:val="28"/>
        </w:rPr>
        <w:pict>
          <v:group id="_x0000_s1026" editas="canvas" style="width:349.15pt;height:203.25pt;mso-position-horizontal-relative:char;mso-position-vertical-relative:line" coordorigin="2275,7859" coordsize="6225,446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5;top:7859;width:6225;height:4469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681;top:7865;width:2118;height:417">
              <v:textbox style="mso-next-textbox:#_x0000_s1028" inset="1.79933mm,.89967mm,1.79933mm,.89967mm">
                <w:txbxContent>
                  <w:p w:rsidR="00291DF2" w:rsidRPr="00B23766" w:rsidRDefault="004740BA" w:rsidP="00703FF5">
                    <w:pPr>
                      <w:rPr>
                        <w:sz w:val="20"/>
                        <w:szCs w:val="28"/>
                      </w:rPr>
                    </w:pPr>
                    <w:r>
                      <w:rPr>
                        <w:sz w:val="20"/>
                        <w:szCs w:val="28"/>
                      </w:rPr>
                      <w:t>Финансовые риски</w:t>
                    </w:r>
                  </w:p>
                </w:txbxContent>
              </v:textbox>
            </v:shape>
            <v:shape id="_x0000_s1029" type="#_x0000_t202" style="position:absolute;left:2282;top:8700;width:2117;height:419">
              <v:textbox style="mso-next-textbox:#_x0000_s1029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Внешние риски</w:t>
                    </w:r>
                  </w:p>
                </w:txbxContent>
              </v:textbox>
            </v:shape>
            <v:shape id="_x0000_s1030" type="#_x0000_t202" style="position:absolute;left:5952;top:8700;width:2258;height:419">
              <v:textbox style="mso-next-textbox:#_x0000_s1030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Внутренние риски</w:t>
                    </w:r>
                  </w:p>
                </w:txbxContent>
              </v:textbox>
            </v:shape>
            <v:shape id="_x0000_s1031" type="#_x0000_t202" style="position:absolute;left:6234;top:9954;width:2259;height:557">
              <v:textbox style="mso-next-textbox:#_x0000_s1031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Риск потери ликвидности</w:t>
                    </w:r>
                  </w:p>
                </w:txbxContent>
              </v:textbox>
            </v:shape>
            <v:shape id="_x0000_s1032" type="#_x0000_t202" style="position:absolute;left:6234;top:9397;width:2258;height:418">
              <v:textbox style="mso-next-textbox:#_x0000_s1032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 xml:space="preserve">Кредитный риск </w:t>
                    </w:r>
                  </w:p>
                </w:txbxContent>
              </v:textbox>
            </v:shape>
            <v:shape id="_x0000_s1033" type="#_x0000_t202" style="position:absolute;left:2705;top:9397;width:2400;height:418">
              <v:textbox style="mso-next-textbox:#_x0000_s1033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Инфляционный риск</w:t>
                    </w:r>
                  </w:p>
                </w:txbxContent>
              </v:textbox>
            </v:shape>
            <v:shape id="_x0000_s1034" type="#_x0000_t202" style="position:absolute;left:2705;top:9954;width:2400;height:416">
              <v:textbox style="mso-next-textbox:#_x0000_s1034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Валютный риск</w:t>
                    </w:r>
                  </w:p>
                </w:txbxContent>
              </v:textbox>
            </v:shape>
            <v:shape id="_x0000_s1035" type="#_x0000_t202" style="position:absolute;left:2705;top:10511;width:2400;height:419">
              <v:textbox style="mso-next-textbox:#_x0000_s1035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Процентный риск</w:t>
                    </w:r>
                  </w:p>
                </w:txbxContent>
              </v:textbox>
            </v:shape>
            <v:shape id="_x0000_s1036" type="#_x0000_t202" style="position:absolute;left:6234;top:10651;width:2259;height:557">
              <v:textbox style="mso-next-textbox:#_x0000_s1036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18"/>
                        <w:szCs w:val="18"/>
                      </w:rPr>
                    </w:pPr>
                    <w:r w:rsidRPr="00B23766">
                      <w:rPr>
                        <w:sz w:val="18"/>
                        <w:szCs w:val="18"/>
                      </w:rPr>
                      <w:t>Риск потери финансовой независимости</w:t>
                    </w:r>
                  </w:p>
                </w:txbxContent>
              </v:textbox>
            </v:shape>
            <v:shape id="_x0000_s1037" type="#_x0000_t202" style="position:absolute;left:6234;top:11347;width:2258;height:418">
              <v:textbox style="mso-next-textbox:#_x0000_s1037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Селективный риск</w:t>
                    </w:r>
                  </w:p>
                </w:txbxContent>
              </v:textbox>
            </v:shape>
            <v:shape id="_x0000_s1038" type="#_x0000_t202" style="position:absolute;left:2705;top:11069;width:2400;height:417">
              <v:textbox style="mso-next-textbox:#_x0000_s1038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Законодательный риск</w:t>
                    </w:r>
                  </w:p>
                </w:txbxContent>
              </v:textbox>
            </v:shape>
            <v:line id="_x0000_s1039" style="position:absolute" from="3411,8562" to="7787,8562"/>
            <v:line id="_x0000_s1040" style="position:absolute" from="5669,8283" to="5669,8562"/>
            <v:line id="_x0000_s1041" style="position:absolute" from="3411,8562" to="3411,8701"/>
            <v:line id="_x0000_s1042" style="position:absolute" from="7787,8562" to="7787,8701"/>
            <v:shape id="_x0000_s1043" type="#_x0000_t202" style="position:absolute;left:2705;top:11626;width:2399;height:418">
              <v:textbox style="mso-next-textbox:#_x0000_s1043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Биржевой риск</w:t>
                    </w:r>
                  </w:p>
                </w:txbxContent>
              </v:textbox>
            </v:shape>
            <v:shape id="_x0000_s1044" type="#_x0000_t202" style="position:absolute;left:6243;top:11904;width:2249;height:418">
              <v:textbox style="mso-next-textbox:#_x0000_s1044" inset="1.79933mm,.89967mm,1.79933mm,.89967mm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8"/>
                      </w:rPr>
                    </w:pPr>
                    <w:r w:rsidRPr="00B23766">
                      <w:rPr>
                        <w:sz w:val="20"/>
                        <w:szCs w:val="28"/>
                      </w:rPr>
                      <w:t>Депозитный риск</w:t>
                    </w:r>
                  </w:p>
                </w:txbxContent>
              </v:textbox>
            </v:shape>
            <v:line id="_x0000_s1045" style="position:absolute" from="2423,9119" to="2423,11765"/>
            <v:line id="_x0000_s1046" style="position:absolute" from="2423,11765" to="2705,11765"/>
            <v:line id="_x0000_s1047" style="position:absolute" from="2423,11208" to="2705,11208"/>
            <v:line id="_x0000_s1048" style="position:absolute" from="2423,10651" to="2705,10651"/>
            <v:line id="_x0000_s1049" style="position:absolute" from="2423,10094" to="2705,10094"/>
            <v:line id="_x0000_s1050" style="position:absolute" from="2423,9537" to="2705,9537"/>
            <v:line id="_x0000_s1051" style="position:absolute" from="6093,9119" to="6093,12043"/>
            <v:line id="_x0000_s1052" style="position:absolute" from="6093,12043" to="6234,12043"/>
            <v:line id="_x0000_s1053" style="position:absolute" from="6093,11486" to="6234,11486"/>
            <v:line id="_x0000_s1054" style="position:absolute" from="6093,10790" to="6234,10790"/>
            <v:line id="_x0000_s1055" style="position:absolute" from="6093,10094" to="6234,10094"/>
            <v:line id="_x0000_s1056" style="position:absolute" from="6093,9537" to="6234,9537"/>
            <w10:wrap type="none"/>
            <w10:anchorlock/>
          </v:group>
        </w:pic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Рисунок 1- Классификация финансовых рисков производственных предприятий (составлено автором)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Создание на предприятиях системы управления финансовыми рисками, адекватной внешней и внутренней среде,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обуславливает необходимость определения принципы её построения, которые, по мнению диссертанта, сводятся к следующим положениям: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  <w:szCs w:val="28"/>
        </w:rPr>
        <w:t xml:space="preserve">1. </w:t>
      </w:r>
      <w:r w:rsidRPr="008537C8">
        <w:rPr>
          <w:sz w:val="28"/>
        </w:rPr>
        <w:t>Комплексный подход к управлению. Необходимо рассматривать не каждый риск в отдельности, а их совокупность, обращая особое внимание на взаимосвязь различных видов финансового риска. Комплексный подход должен сохраняться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на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всех этапах финансового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риск-менеджмента.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2. Исходя из необходимости комплексного подхода, целесообразно использовать показатель, характеризующий совокупное воздействие всех видов финансовых рисков (индикатор общего финансового риска).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3. Введение на предприятиях регулярной и обязательной процедуры идентификации, анализа и контроля различных видов финансовых рисков. Мероприятия по управлению финансовыми рисками должны производиться </w:t>
      </w:r>
      <w:r w:rsidRPr="008537C8">
        <w:rPr>
          <w:sz w:val="28"/>
          <w:szCs w:val="28"/>
        </w:rPr>
        <w:lastRenderedPageBreak/>
        <w:t>не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периодически, по мере возникновения проблем, а постоянно, регулярно, 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процедура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управления финансовыми рисками должна быть одной из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функций системы управления предприятием.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</w:rPr>
        <w:t>4. Необходимость нормативно-методического обеспечения системы управления финансовыми рисками предприятия, которые соответствуют не только современному уровню развития риск-менеджмента, но и учитывают отраслевую, региональную или иную специфику деятельности предприятия.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  <w:szCs w:val="28"/>
        </w:rPr>
        <w:t>5. Единообразие и преемственность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понятий, классификаций и процедур управления финансовыми рисками.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Игнорирование этого принципа затрудняет построение системы эффективного управления рисками на предприятиях даже одной отрасли.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b/>
          <w:sz w:val="28"/>
        </w:rPr>
        <w:t>Во второй главе</w:t>
      </w:r>
      <w:r w:rsidRPr="008537C8">
        <w:rPr>
          <w:sz w:val="28"/>
        </w:rPr>
        <w:t xml:space="preserve"> </w:t>
      </w:r>
      <w:r w:rsidR="00291DF2" w:rsidRPr="008537C8">
        <w:rPr>
          <w:sz w:val="28"/>
        </w:rPr>
        <w:t>"</w:t>
      </w:r>
      <w:r w:rsidRPr="008537C8">
        <w:rPr>
          <w:sz w:val="28"/>
        </w:rPr>
        <w:t>Современные методы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измерения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совокупного финансового риска</w:t>
      </w:r>
      <w:r w:rsidR="00291DF2" w:rsidRPr="008537C8">
        <w:rPr>
          <w:sz w:val="28"/>
        </w:rPr>
        <w:t>"</w:t>
      </w:r>
      <w:r w:rsidRPr="008537C8">
        <w:rPr>
          <w:sz w:val="28"/>
        </w:rPr>
        <w:t xml:space="preserve"> проведена сравнительная характеристика методов оценки совокупного финансового риска производственных предприятий и предложена разработанная автором дискриминантная модель общей количественной оценки</w:t>
      </w:r>
      <w:r w:rsidR="00291DF2" w:rsidRPr="008537C8">
        <w:rPr>
          <w:sz w:val="28"/>
        </w:rPr>
        <w:t xml:space="preserve"> </w:t>
      </w:r>
      <w:r w:rsidRPr="008537C8">
        <w:rPr>
          <w:sz w:val="28"/>
        </w:rPr>
        <w:t>финансовых рисков.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</w:rPr>
        <w:t xml:space="preserve">Комплексный подход к управлению финансовыми рисками обосновывает необходимость его количественной оценки. </w:t>
      </w:r>
      <w:r w:rsidRPr="008537C8">
        <w:rPr>
          <w:sz w:val="28"/>
          <w:szCs w:val="28"/>
        </w:rPr>
        <w:t>Проявление различных видов финансовых рисков в конечном итоге отражается на финансовом состоянии предприятия. Результатом неблагоприятного воздействия финансовых рисков является ухудшение финансового состояния предприятия, которое может привести к финансовой несостоятельности 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банкротству. Таким образом, общий (совокупный) финансовый риск можно оценить стандартными методами анализа финансового состояния предприятия и прогнозирования финансовой несостоятельности (рейтинговая, балльная оценки, финансовый рычаг,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дискриминитные модели).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Сравнительная характеристика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различных методов оценки общего финансового риска предприятия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представлена в таблице 1.</w:t>
      </w:r>
    </w:p>
    <w:p w:rsidR="00703FF5" w:rsidRPr="008537C8" w:rsidRDefault="004302B3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br w:type="page"/>
      </w:r>
      <w:r w:rsidR="00703FF5" w:rsidRPr="008537C8">
        <w:rPr>
          <w:sz w:val="28"/>
          <w:szCs w:val="28"/>
        </w:rPr>
        <w:lastRenderedPageBreak/>
        <w:t>Таблица 1 – Сравнение методов оценок финансовой несостоятельности (составлено автором)</w:t>
      </w:r>
    </w:p>
    <w:tbl>
      <w:tblPr>
        <w:tblStyle w:val="af1"/>
        <w:tblW w:w="0" w:type="auto"/>
        <w:tblInd w:w="709" w:type="dxa"/>
        <w:tblLayout w:type="fixed"/>
        <w:tblLook w:val="0400" w:firstRow="0" w:lastRow="0" w:firstColumn="0" w:lastColumn="0" w:noHBand="0" w:noVBand="1"/>
      </w:tblPr>
      <w:tblGrid>
        <w:gridCol w:w="2218"/>
        <w:gridCol w:w="1434"/>
        <w:gridCol w:w="1096"/>
        <w:gridCol w:w="2034"/>
        <w:gridCol w:w="1855"/>
      </w:tblGrid>
      <w:tr w:rsidR="00703FF5" w:rsidRPr="008537C8" w:rsidTr="004302B3">
        <w:tc>
          <w:tcPr>
            <w:tcW w:w="2218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Критерии</w:t>
            </w:r>
          </w:p>
        </w:tc>
        <w:tc>
          <w:tcPr>
            <w:tcW w:w="14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Рейтинговые оценки</w:t>
            </w:r>
          </w:p>
        </w:tc>
        <w:tc>
          <w:tcPr>
            <w:tcW w:w="109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Балльные оценки</w:t>
            </w:r>
          </w:p>
        </w:tc>
        <w:tc>
          <w:tcPr>
            <w:tcW w:w="20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Использование финансового рычага</w:t>
            </w:r>
          </w:p>
        </w:tc>
        <w:tc>
          <w:tcPr>
            <w:tcW w:w="185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Дискриминантные модели</w:t>
            </w:r>
          </w:p>
        </w:tc>
      </w:tr>
      <w:tr w:rsidR="00703FF5" w:rsidRPr="008537C8" w:rsidTr="004302B3">
        <w:tc>
          <w:tcPr>
            <w:tcW w:w="2218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Простота использования</w:t>
            </w:r>
          </w:p>
        </w:tc>
        <w:tc>
          <w:tcPr>
            <w:tcW w:w="14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109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−</w:t>
            </w:r>
          </w:p>
        </w:tc>
        <w:tc>
          <w:tcPr>
            <w:tcW w:w="20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185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</w:tr>
      <w:tr w:rsidR="00703FF5" w:rsidRPr="008537C8" w:rsidTr="004302B3">
        <w:tc>
          <w:tcPr>
            <w:tcW w:w="2218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Комплексный характер</w:t>
            </w:r>
          </w:p>
        </w:tc>
        <w:tc>
          <w:tcPr>
            <w:tcW w:w="14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109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20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−</w:t>
            </w:r>
          </w:p>
        </w:tc>
        <w:tc>
          <w:tcPr>
            <w:tcW w:w="185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</w:tr>
      <w:tr w:rsidR="00703FF5" w:rsidRPr="008537C8" w:rsidTr="004302B3">
        <w:tc>
          <w:tcPr>
            <w:tcW w:w="2218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Возможность прогнозирования</w:t>
            </w:r>
          </w:p>
        </w:tc>
        <w:tc>
          <w:tcPr>
            <w:tcW w:w="14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−</w:t>
            </w:r>
          </w:p>
        </w:tc>
        <w:tc>
          <w:tcPr>
            <w:tcW w:w="109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−</w:t>
            </w:r>
          </w:p>
        </w:tc>
        <w:tc>
          <w:tcPr>
            <w:tcW w:w="2034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185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</w:tr>
    </w:tbl>
    <w:p w:rsidR="00703FF5" w:rsidRPr="008537C8" w:rsidRDefault="00291DF2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2"/>
          <w:lang w:val="en-US"/>
        </w:rPr>
      </w:pPr>
      <w:r w:rsidRPr="008537C8">
        <w:rPr>
          <w:sz w:val="28"/>
          <w:szCs w:val="22"/>
        </w:rPr>
        <w:t>"</w:t>
      </w:r>
      <w:r w:rsidR="00703FF5" w:rsidRPr="008537C8">
        <w:rPr>
          <w:sz w:val="28"/>
          <w:szCs w:val="22"/>
        </w:rPr>
        <w:t>+</w:t>
      </w:r>
      <w:r w:rsidRPr="008537C8">
        <w:rPr>
          <w:sz w:val="28"/>
          <w:szCs w:val="22"/>
        </w:rPr>
        <w:t>"</w:t>
      </w:r>
      <w:r w:rsidR="00703FF5" w:rsidRPr="008537C8">
        <w:rPr>
          <w:sz w:val="28"/>
          <w:szCs w:val="22"/>
        </w:rPr>
        <w:t xml:space="preserve"> - соответствие критерию; </w:t>
      </w:r>
      <w:r w:rsidRPr="008537C8">
        <w:rPr>
          <w:sz w:val="28"/>
          <w:szCs w:val="22"/>
        </w:rPr>
        <w:t>"</w:t>
      </w:r>
      <w:r w:rsidR="00703FF5" w:rsidRPr="008537C8">
        <w:rPr>
          <w:sz w:val="28"/>
          <w:szCs w:val="22"/>
        </w:rPr>
        <w:t>-</w:t>
      </w:r>
      <w:r w:rsidRPr="008537C8">
        <w:rPr>
          <w:sz w:val="28"/>
          <w:szCs w:val="22"/>
        </w:rPr>
        <w:t>"</w:t>
      </w:r>
      <w:r w:rsidR="00703FF5" w:rsidRPr="008537C8">
        <w:rPr>
          <w:sz w:val="28"/>
          <w:szCs w:val="22"/>
        </w:rPr>
        <w:t xml:space="preserve"> - несоответствие критерию</w:t>
      </w:r>
    </w:p>
    <w:p w:rsidR="00B23766" w:rsidRPr="008537C8" w:rsidRDefault="00B2376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2"/>
          <w:lang w:val="en-US"/>
        </w:rPr>
      </w:pP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В диссертационном исследовании доказано, что наиболее эффективным методом оценки совокупного финансового риска промышленного предприятия являются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дискриминантные модели,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применение которых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позволяет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не только оценить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финансовое состояние предприятий, но и спрогнозировать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вероятность банкротства с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учетом отраслевой специфики и факторов внешней среды.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Автором построена дискриминантная модель прогнозирования финансового состояния предприятий масложировой отрасли Краснодарского края по данным финансовой отчетности 63 предприятий:</w:t>
      </w:r>
    </w:p>
    <w:p w:rsidR="00B23766" w:rsidRPr="008537C8" w:rsidRDefault="00B2376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4302B3" w:rsidRPr="00B135FB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  <w:lang w:val="en-US"/>
        </w:rPr>
        <w:t>D</w:t>
      </w:r>
      <w:r w:rsidRPr="008537C8">
        <w:rPr>
          <w:sz w:val="28"/>
          <w:szCs w:val="28"/>
        </w:rPr>
        <w:t>=0,21+0,806*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1</w:t>
      </w:r>
      <w:r w:rsidRPr="008537C8">
        <w:rPr>
          <w:sz w:val="28"/>
          <w:szCs w:val="28"/>
        </w:rPr>
        <w:t xml:space="preserve">+0,17* 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2</w:t>
      </w:r>
      <w:r w:rsidRPr="008537C8">
        <w:rPr>
          <w:sz w:val="28"/>
          <w:szCs w:val="28"/>
        </w:rPr>
        <w:t>-0,786*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3</w:t>
      </w:r>
      <w:r w:rsidR="004302B3" w:rsidRPr="008537C8">
        <w:rPr>
          <w:sz w:val="28"/>
          <w:szCs w:val="28"/>
        </w:rPr>
        <w:t>,</w:t>
      </w:r>
    </w:p>
    <w:p w:rsidR="004302B3" w:rsidRPr="00B135FB" w:rsidRDefault="004302B3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где</w:t>
      </w:r>
      <w:r w:rsidR="004302B3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1</w:t>
      </w:r>
      <w:r w:rsidRPr="008537C8">
        <w:rPr>
          <w:sz w:val="28"/>
          <w:szCs w:val="28"/>
        </w:rPr>
        <w:t xml:space="preserve"> –коэффициент покрытия суммы обязательств;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2</w:t>
      </w:r>
      <w:r w:rsidRPr="008537C8">
        <w:rPr>
          <w:sz w:val="28"/>
          <w:szCs w:val="28"/>
        </w:rPr>
        <w:t xml:space="preserve"> – рентабельность активов по нераспределенной прибыли;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3</w:t>
      </w:r>
      <w:r w:rsidRPr="008537C8">
        <w:rPr>
          <w:sz w:val="28"/>
          <w:szCs w:val="28"/>
        </w:rPr>
        <w:t xml:space="preserve"> –коэффициент текущей ликвидности.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Априори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 модель были включены 17 факторов – показателей финансового состояния, из которых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 итогам отбора остались три статистически значимые (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1,</w:t>
      </w:r>
      <w:r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2,</w:t>
      </w:r>
      <w:r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  <w:lang w:val="en-US"/>
        </w:rPr>
        <w:t>X</w:t>
      </w:r>
      <w:r w:rsidRPr="008537C8">
        <w:rPr>
          <w:sz w:val="28"/>
          <w:szCs w:val="28"/>
          <w:vertAlign w:val="subscript"/>
        </w:rPr>
        <w:t>3</w:t>
      </w:r>
      <w:r w:rsidRPr="008537C8">
        <w:rPr>
          <w:sz w:val="28"/>
          <w:szCs w:val="28"/>
        </w:rPr>
        <w:t>).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Если </w:t>
      </w:r>
      <w:r w:rsidRPr="008537C8">
        <w:rPr>
          <w:sz w:val="28"/>
          <w:szCs w:val="28"/>
          <w:lang w:val="en-US"/>
        </w:rPr>
        <w:t>D</w:t>
      </w:r>
      <w:r w:rsidRPr="008537C8">
        <w:rPr>
          <w:sz w:val="28"/>
          <w:szCs w:val="28"/>
        </w:rPr>
        <w:t xml:space="preserve"> ≥ - 0,187, то вероятность банкротства предприятия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менее 50%,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 противном случае -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свыше 50%.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 xml:space="preserve">Точность данной модели на промежутке до 1 года составляет 79,4 %. </w:t>
      </w:r>
      <w:r w:rsidRPr="008537C8">
        <w:rPr>
          <w:sz w:val="28"/>
          <w:szCs w:val="28"/>
        </w:rPr>
        <w:lastRenderedPageBreak/>
        <w:t>Для сравнения: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максимальная точность расчетов по тем же предприятиям по другим моделям прогнозирования банкротства составила 70,8 % (таблица 2).</w:t>
      </w:r>
    </w:p>
    <w:p w:rsidR="00D01F7F" w:rsidRPr="00B135FB" w:rsidRDefault="00D01F7F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Таблица 2 - Точность прогноза банкротства предприятий масложировой отрасли Краснодарского края по различным моделям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(составлено автором)</w:t>
      </w:r>
    </w:p>
    <w:tbl>
      <w:tblPr>
        <w:tblStyle w:val="af1"/>
        <w:tblW w:w="9384" w:type="dxa"/>
        <w:tblLayout w:type="fixed"/>
        <w:tblLook w:val="0400" w:firstRow="0" w:lastRow="0" w:firstColumn="0" w:lastColumn="0" w:noHBand="0" w:noVBand="1"/>
      </w:tblPr>
      <w:tblGrid>
        <w:gridCol w:w="1242"/>
        <w:gridCol w:w="1622"/>
        <w:gridCol w:w="1559"/>
        <w:gridCol w:w="637"/>
        <w:gridCol w:w="1064"/>
        <w:gridCol w:w="992"/>
        <w:gridCol w:w="992"/>
        <w:gridCol w:w="1276"/>
      </w:tblGrid>
      <w:tr w:rsidR="00703FF5" w:rsidRPr="008537C8" w:rsidTr="004B27E5">
        <w:tc>
          <w:tcPr>
            <w:tcW w:w="124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adjustRightInd w:val="0"/>
              <w:snapToGrid w:val="0"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rFonts w:eastAsia="Arial Unicode MS"/>
                <w:sz w:val="20"/>
                <w:szCs w:val="26"/>
              </w:rPr>
              <w:t>Модель</w:t>
            </w:r>
          </w:p>
        </w:tc>
        <w:tc>
          <w:tcPr>
            <w:tcW w:w="162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Двухфакторная Альтмана</w:t>
            </w:r>
          </w:p>
        </w:tc>
        <w:tc>
          <w:tcPr>
            <w:tcW w:w="1559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Пятифакторная Альтмана</w:t>
            </w:r>
          </w:p>
        </w:tc>
        <w:tc>
          <w:tcPr>
            <w:tcW w:w="637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Лиса</w:t>
            </w:r>
          </w:p>
        </w:tc>
        <w:tc>
          <w:tcPr>
            <w:tcW w:w="1064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Таффлера</w:t>
            </w:r>
          </w:p>
        </w:tc>
        <w:tc>
          <w:tcPr>
            <w:tcW w:w="99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Ле Хоа Суана</w:t>
            </w:r>
          </w:p>
        </w:tc>
        <w:tc>
          <w:tcPr>
            <w:tcW w:w="99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rFonts w:eastAsia="Arial Unicode MS"/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А.Ю. Бе-ликова</w:t>
            </w:r>
          </w:p>
        </w:tc>
        <w:tc>
          <w:tcPr>
            <w:tcW w:w="127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Предлагае</w:t>
            </w:r>
            <w:r w:rsidR="00D01F7F" w:rsidRPr="008537C8">
              <w:rPr>
                <w:sz w:val="20"/>
                <w:szCs w:val="26"/>
                <w:lang w:val="en-US"/>
              </w:rPr>
              <w:t>-</w:t>
            </w:r>
            <w:r w:rsidRPr="008537C8">
              <w:rPr>
                <w:sz w:val="20"/>
                <w:szCs w:val="26"/>
              </w:rPr>
              <w:t>мая модель</w:t>
            </w:r>
          </w:p>
        </w:tc>
      </w:tr>
      <w:tr w:rsidR="00703FF5" w:rsidRPr="008537C8" w:rsidTr="004B27E5">
        <w:tc>
          <w:tcPr>
            <w:tcW w:w="1242" w:type="dxa"/>
            <w:noWrap/>
          </w:tcPr>
          <w:p w:rsidR="00703FF5" w:rsidRPr="008537C8" w:rsidRDefault="004B27E5" w:rsidP="004B27E5">
            <w:pPr>
              <w:widowControl w:val="0"/>
              <w:suppressAutoHyphens/>
              <w:spacing w:line="360" w:lineRule="auto"/>
              <w:ind w:right="-108"/>
              <w:jc w:val="center"/>
              <w:rPr>
                <w:sz w:val="20"/>
                <w:szCs w:val="26"/>
              </w:rPr>
            </w:pPr>
            <w:r>
              <w:rPr>
                <w:sz w:val="20"/>
                <w:szCs w:val="26"/>
              </w:rPr>
              <w:t>т</w:t>
            </w:r>
            <w:r w:rsidR="00703FF5" w:rsidRPr="008537C8">
              <w:rPr>
                <w:sz w:val="20"/>
                <w:szCs w:val="26"/>
              </w:rPr>
              <w:t>о</w:t>
            </w:r>
            <w:r>
              <w:rPr>
                <w:sz w:val="20"/>
                <w:szCs w:val="26"/>
              </w:rPr>
              <w:t>ч</w:t>
            </w:r>
            <w:r w:rsidR="00703FF5" w:rsidRPr="008537C8">
              <w:rPr>
                <w:sz w:val="20"/>
                <w:szCs w:val="26"/>
              </w:rPr>
              <w:t>ность, %</w:t>
            </w:r>
          </w:p>
        </w:tc>
        <w:tc>
          <w:tcPr>
            <w:tcW w:w="162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70,8</w:t>
            </w:r>
          </w:p>
        </w:tc>
        <w:tc>
          <w:tcPr>
            <w:tcW w:w="1559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62,8</w:t>
            </w:r>
          </w:p>
        </w:tc>
        <w:tc>
          <w:tcPr>
            <w:tcW w:w="637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48,8</w:t>
            </w:r>
          </w:p>
        </w:tc>
        <w:tc>
          <w:tcPr>
            <w:tcW w:w="1064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60,5</w:t>
            </w:r>
          </w:p>
        </w:tc>
        <w:tc>
          <w:tcPr>
            <w:tcW w:w="99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54,2</w:t>
            </w:r>
          </w:p>
        </w:tc>
        <w:tc>
          <w:tcPr>
            <w:tcW w:w="992" w:type="dxa"/>
            <w:noWrap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69,0</w:t>
            </w:r>
          </w:p>
        </w:tc>
        <w:tc>
          <w:tcPr>
            <w:tcW w:w="127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6"/>
              </w:rPr>
            </w:pPr>
            <w:r w:rsidRPr="008537C8">
              <w:rPr>
                <w:sz w:val="20"/>
                <w:szCs w:val="26"/>
              </w:rPr>
              <w:t>79,4</w:t>
            </w:r>
          </w:p>
        </w:tc>
      </w:tr>
    </w:tbl>
    <w:p w:rsidR="00B23766" w:rsidRPr="008537C8" w:rsidRDefault="00B2376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Таким образом, предложенная в диссертационном исследовании дискриминантная модель прогнозирования вероятности банкротства и совокупной оценки финансовых рисков имеет несомненные преимущества перед другими методами, используемыми для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тех же целей.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Являясь более точной,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данная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модель, в отличие от прочих, учитывает отраслевые особенности промышленных предприятий и факторы внешней среды.</w:t>
      </w:r>
    </w:p>
    <w:p w:rsidR="00703FF5" w:rsidRPr="008537C8" w:rsidRDefault="00703FF5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8537C8">
        <w:rPr>
          <w:sz w:val="28"/>
        </w:rPr>
        <w:t xml:space="preserve">В третьей главе </w:t>
      </w:r>
      <w:r w:rsidR="00291DF2" w:rsidRPr="008537C8">
        <w:rPr>
          <w:sz w:val="28"/>
        </w:rPr>
        <w:t>"</w:t>
      </w:r>
      <w:r w:rsidRPr="008537C8">
        <w:rPr>
          <w:b w:val="0"/>
          <w:sz w:val="28"/>
        </w:rPr>
        <w:t>Формирование системы управления финансовыми рисками в масложировом</w:t>
      </w:r>
      <w:r w:rsidR="00291DF2" w:rsidRPr="008537C8">
        <w:rPr>
          <w:b w:val="0"/>
          <w:sz w:val="28"/>
        </w:rPr>
        <w:t xml:space="preserve"> </w:t>
      </w:r>
      <w:r w:rsidRPr="008537C8">
        <w:rPr>
          <w:b w:val="0"/>
          <w:sz w:val="28"/>
        </w:rPr>
        <w:t>подкомплексе АПК Краснодарского края</w:t>
      </w:r>
      <w:r w:rsidR="00291DF2" w:rsidRPr="008537C8">
        <w:rPr>
          <w:b w:val="0"/>
          <w:sz w:val="28"/>
        </w:rPr>
        <w:t>"</w:t>
      </w:r>
      <w:r w:rsidRPr="008537C8">
        <w:rPr>
          <w:b w:val="0"/>
          <w:sz w:val="28"/>
        </w:rPr>
        <w:t xml:space="preserve"> изучена рисковая ситуация на предприятиях масложирового комплекса АПК Краснодарского края, предложена методика оценки уровня регионального риска, сформулированы методические указания по управлению финансовыми рисками производственных предприятий.</w:t>
      </w:r>
      <w:r w:rsidR="00D01F7F" w:rsidRPr="008537C8">
        <w:rPr>
          <w:b w:val="0"/>
          <w:sz w:val="28"/>
        </w:rPr>
        <w:t xml:space="preserve"> </w:t>
      </w:r>
      <w:r w:rsidRPr="008537C8">
        <w:rPr>
          <w:b w:val="0"/>
          <w:sz w:val="28"/>
        </w:rPr>
        <w:t>Прогнозируя влияние финансового риска на финансовую несостоятельность российских предприятий, необходимо учитывать</w:t>
      </w:r>
      <w:r w:rsidR="00291DF2" w:rsidRPr="008537C8">
        <w:rPr>
          <w:b w:val="0"/>
          <w:sz w:val="28"/>
        </w:rPr>
        <w:t xml:space="preserve"> </w:t>
      </w:r>
      <w:r w:rsidRPr="008537C8">
        <w:rPr>
          <w:b w:val="0"/>
          <w:sz w:val="28"/>
          <w:szCs w:val="28"/>
        </w:rPr>
        <w:t>влияние внешних факторов, которое</w:t>
      </w:r>
      <w:r w:rsidR="00291DF2" w:rsidRPr="008537C8">
        <w:rPr>
          <w:b w:val="0"/>
          <w:sz w:val="28"/>
          <w:szCs w:val="28"/>
        </w:rPr>
        <w:t xml:space="preserve"> </w:t>
      </w:r>
      <w:r w:rsidRPr="008537C8">
        <w:rPr>
          <w:b w:val="0"/>
          <w:sz w:val="28"/>
          <w:szCs w:val="28"/>
        </w:rPr>
        <w:t>в российских условиях намного сильнее, чем в условиях развитой рыночной экономики. Внешняя среда генерирует, прежде всего, региональные риски, которые</w:t>
      </w:r>
      <w:r w:rsidRPr="008537C8">
        <w:rPr>
          <w:b w:val="0"/>
          <w:bCs w:val="0"/>
          <w:sz w:val="28"/>
          <w:szCs w:val="28"/>
        </w:rPr>
        <w:t xml:space="preserve"> оказывают существенное воздействие на развитие предпринимательского сектора. Предлагаемая в диссертационной работе методика оценки региональных рисков основана на балльной системе (таблица 3).</w:t>
      </w:r>
    </w:p>
    <w:p w:rsidR="00703FF5" w:rsidRPr="008537C8" w:rsidRDefault="00D01F7F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8537C8">
        <w:rPr>
          <w:b w:val="0"/>
          <w:bCs w:val="0"/>
          <w:sz w:val="28"/>
          <w:szCs w:val="28"/>
        </w:rPr>
        <w:br w:type="page"/>
      </w:r>
      <w:r w:rsidR="00703FF5" w:rsidRPr="008537C8">
        <w:rPr>
          <w:b w:val="0"/>
          <w:bCs w:val="0"/>
          <w:sz w:val="28"/>
          <w:szCs w:val="28"/>
        </w:rPr>
        <w:lastRenderedPageBreak/>
        <w:t>Таблица 3–Система показателей балльной оценки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="00703FF5" w:rsidRPr="008537C8">
        <w:rPr>
          <w:b w:val="0"/>
          <w:bCs w:val="0"/>
          <w:sz w:val="28"/>
          <w:szCs w:val="28"/>
        </w:rPr>
        <w:t>регионального риска (составлено автором)</w:t>
      </w:r>
    </w:p>
    <w:tbl>
      <w:tblPr>
        <w:tblStyle w:val="af1"/>
        <w:tblW w:w="8755" w:type="dxa"/>
        <w:tblInd w:w="709" w:type="dxa"/>
        <w:tblLook w:val="0400" w:firstRow="0" w:lastRow="0" w:firstColumn="0" w:lastColumn="0" w:noHBand="0" w:noVBand="1"/>
      </w:tblPr>
      <w:tblGrid>
        <w:gridCol w:w="2660"/>
        <w:gridCol w:w="3969"/>
        <w:gridCol w:w="2126"/>
      </w:tblGrid>
      <w:tr w:rsidR="00703FF5" w:rsidRPr="008537C8" w:rsidTr="00926047">
        <w:tc>
          <w:tcPr>
            <w:tcW w:w="2660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Блоки показателей</w:t>
            </w: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Наименование показателей-факторов</w:t>
            </w:r>
          </w:p>
        </w:tc>
        <w:tc>
          <w:tcPr>
            <w:tcW w:w="2126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При наличии</w:t>
            </w:r>
            <w:r w:rsidR="00291DF2" w:rsidRPr="008537C8">
              <w:rPr>
                <w:b w:val="0"/>
                <w:bCs w:val="0"/>
                <w:sz w:val="20"/>
                <w:szCs w:val="28"/>
              </w:rPr>
              <w:t xml:space="preserve"> </w:t>
            </w:r>
            <w:r w:rsidRPr="008537C8">
              <w:rPr>
                <w:b w:val="0"/>
                <w:bCs w:val="0"/>
                <w:sz w:val="20"/>
                <w:szCs w:val="28"/>
              </w:rPr>
              <w:t>факторов кол</w:t>
            </w:r>
            <w:r w:rsidR="00926047" w:rsidRPr="008537C8">
              <w:rPr>
                <w:b w:val="0"/>
                <w:bCs w:val="0"/>
                <w:sz w:val="20"/>
                <w:szCs w:val="28"/>
              </w:rPr>
              <w:t>.</w:t>
            </w:r>
            <w:r w:rsidRPr="008537C8">
              <w:rPr>
                <w:b w:val="0"/>
                <w:bCs w:val="0"/>
                <w:sz w:val="20"/>
                <w:szCs w:val="28"/>
              </w:rPr>
              <w:t xml:space="preserve"> баллов</w:t>
            </w:r>
          </w:p>
        </w:tc>
      </w:tr>
      <w:tr w:rsidR="00703FF5" w:rsidRPr="008537C8" w:rsidTr="00926047">
        <w:tc>
          <w:tcPr>
            <w:tcW w:w="2660" w:type="dxa"/>
            <w:vMerge w:val="restart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Региональная нормативно-правовая база</w:t>
            </w: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Отсутствие региональной программы развития и поддержки отрасли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15</w:t>
            </w:r>
          </w:p>
        </w:tc>
      </w:tr>
      <w:tr w:rsidR="00703FF5" w:rsidRPr="008537C8" w:rsidTr="00926047">
        <w:tc>
          <w:tcPr>
            <w:tcW w:w="2660" w:type="dxa"/>
            <w:vMerge/>
          </w:tcPr>
          <w:p w:rsidR="00703FF5" w:rsidRPr="008537C8" w:rsidRDefault="00703FF5" w:rsidP="00926047">
            <w:pPr>
              <w:widowControl w:val="0"/>
              <w:suppressAutoHyphens/>
              <w:spacing w:line="360" w:lineRule="auto"/>
              <w:rPr>
                <w:bCs/>
                <w:sz w:val="20"/>
                <w:szCs w:val="28"/>
              </w:rPr>
            </w:pP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Наличие банкротств предприятий в данной отрасли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20</w:t>
            </w:r>
          </w:p>
        </w:tc>
      </w:tr>
      <w:tr w:rsidR="00703FF5" w:rsidRPr="008537C8" w:rsidTr="00926047">
        <w:tc>
          <w:tcPr>
            <w:tcW w:w="2660" w:type="dxa"/>
            <w:vMerge w:val="restart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ind w:right="-108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Социально-демографическая ситуация</w:t>
            </w: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Снижение численности населения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15</w:t>
            </w:r>
          </w:p>
        </w:tc>
      </w:tr>
      <w:tr w:rsidR="00703FF5" w:rsidRPr="008537C8" w:rsidTr="00926047">
        <w:tc>
          <w:tcPr>
            <w:tcW w:w="2660" w:type="dxa"/>
            <w:vMerge/>
          </w:tcPr>
          <w:p w:rsidR="00703FF5" w:rsidRPr="008537C8" w:rsidRDefault="00703FF5" w:rsidP="00926047">
            <w:pPr>
              <w:widowControl w:val="0"/>
              <w:suppressAutoHyphens/>
              <w:spacing w:line="360" w:lineRule="auto"/>
              <w:rPr>
                <w:bCs/>
                <w:sz w:val="20"/>
                <w:szCs w:val="28"/>
              </w:rPr>
            </w:pP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Снижение среднедушевого дохода населения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10</w:t>
            </w:r>
          </w:p>
        </w:tc>
      </w:tr>
      <w:tr w:rsidR="00703FF5" w:rsidRPr="008537C8" w:rsidTr="00926047">
        <w:tc>
          <w:tcPr>
            <w:tcW w:w="2660" w:type="dxa"/>
            <w:vMerge w:val="restart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Состояние потребительского рынка в регионе</w:t>
            </w: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Отсутствие в регионе крупных оптовых покупателей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10</w:t>
            </w:r>
          </w:p>
        </w:tc>
      </w:tr>
      <w:tr w:rsidR="00703FF5" w:rsidRPr="008537C8" w:rsidTr="00926047">
        <w:tc>
          <w:tcPr>
            <w:tcW w:w="2660" w:type="dxa"/>
            <w:vMerge/>
          </w:tcPr>
          <w:p w:rsidR="00703FF5" w:rsidRPr="008537C8" w:rsidRDefault="00703FF5" w:rsidP="00926047">
            <w:pPr>
              <w:widowControl w:val="0"/>
              <w:suppressAutoHyphens/>
              <w:spacing w:line="360" w:lineRule="auto"/>
              <w:rPr>
                <w:bCs/>
                <w:sz w:val="20"/>
                <w:szCs w:val="28"/>
              </w:rPr>
            </w:pP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Наличие конкурентов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10</w:t>
            </w:r>
          </w:p>
        </w:tc>
      </w:tr>
      <w:tr w:rsidR="00703FF5" w:rsidRPr="008537C8" w:rsidTr="00926047">
        <w:tc>
          <w:tcPr>
            <w:tcW w:w="2660" w:type="dxa"/>
            <w:vMerge w:val="restart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Уровень предпринимательской активности</w:t>
            </w: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Строительство новых предприятий данной промышленности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10</w:t>
            </w:r>
          </w:p>
        </w:tc>
      </w:tr>
      <w:tr w:rsidR="00703FF5" w:rsidRPr="008537C8" w:rsidTr="00926047">
        <w:tc>
          <w:tcPr>
            <w:tcW w:w="2660" w:type="dxa"/>
            <w:vMerge/>
          </w:tcPr>
          <w:p w:rsidR="00703FF5" w:rsidRPr="008537C8" w:rsidRDefault="00703FF5" w:rsidP="00926047">
            <w:pPr>
              <w:widowControl w:val="0"/>
              <w:suppressAutoHyphens/>
              <w:spacing w:line="360" w:lineRule="auto"/>
              <w:rPr>
                <w:bCs/>
                <w:sz w:val="20"/>
                <w:szCs w:val="28"/>
              </w:rPr>
            </w:pPr>
          </w:p>
        </w:tc>
        <w:tc>
          <w:tcPr>
            <w:tcW w:w="3969" w:type="dxa"/>
          </w:tcPr>
          <w:p w:rsidR="00703FF5" w:rsidRPr="008537C8" w:rsidRDefault="00703FF5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Наличие импортной продукции масложировой промышленности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sz w:val="20"/>
                <w:szCs w:val="28"/>
              </w:rPr>
              <w:t>5</w:t>
            </w:r>
          </w:p>
        </w:tc>
      </w:tr>
      <w:tr w:rsidR="00703FF5" w:rsidRPr="008537C8" w:rsidTr="00926047">
        <w:tc>
          <w:tcPr>
            <w:tcW w:w="2660" w:type="dxa"/>
            <w:vMerge/>
          </w:tcPr>
          <w:p w:rsidR="00703FF5" w:rsidRPr="008537C8" w:rsidRDefault="00703FF5" w:rsidP="00926047">
            <w:pPr>
              <w:widowControl w:val="0"/>
              <w:suppressAutoHyphens/>
              <w:spacing w:line="360" w:lineRule="auto"/>
              <w:rPr>
                <w:bCs/>
                <w:sz w:val="20"/>
                <w:szCs w:val="28"/>
              </w:rPr>
            </w:pPr>
          </w:p>
        </w:tc>
        <w:tc>
          <w:tcPr>
            <w:tcW w:w="3969" w:type="dxa"/>
          </w:tcPr>
          <w:p w:rsidR="00703FF5" w:rsidRPr="008537C8" w:rsidRDefault="00926047" w:rsidP="00926047">
            <w:pPr>
              <w:pStyle w:val="a5"/>
              <w:widowControl w:val="0"/>
              <w:suppressAutoHyphens/>
              <w:spacing w:line="360" w:lineRule="auto"/>
              <w:jc w:val="left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Наличие прод-</w:t>
            </w:r>
            <w:r w:rsidR="00703FF5" w:rsidRPr="008537C8">
              <w:rPr>
                <w:b w:val="0"/>
                <w:bCs w:val="0"/>
                <w:sz w:val="20"/>
                <w:szCs w:val="28"/>
              </w:rPr>
              <w:t>и из других регионов страны</w:t>
            </w:r>
          </w:p>
        </w:tc>
        <w:tc>
          <w:tcPr>
            <w:tcW w:w="2126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sz w:val="20"/>
                <w:szCs w:val="28"/>
              </w:rPr>
              <w:t>5</w:t>
            </w:r>
          </w:p>
        </w:tc>
      </w:tr>
    </w:tbl>
    <w:p w:rsidR="00B23766" w:rsidRPr="008537C8" w:rsidRDefault="00B23766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  <w:lang w:val="en-US"/>
        </w:rPr>
      </w:pPr>
    </w:p>
    <w:p w:rsidR="00703FF5" w:rsidRPr="008537C8" w:rsidRDefault="00703FF5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8537C8">
        <w:rPr>
          <w:b w:val="0"/>
          <w:bCs w:val="0"/>
          <w:sz w:val="28"/>
          <w:szCs w:val="28"/>
        </w:rPr>
        <w:t>Продуманная, научно обоснованная политика региональных властей в части налоговой политики, контроля естественных монополий и т.д.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способствует созданию благоприятной экономической обстановки и снижению регионального риска. Сравнение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показателей, приведенных в таблице 3,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для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различных регионов позволяет ранжировать территории по уровню рискованности ведения бизнеса.</w:t>
      </w:r>
      <w:r w:rsidR="00926047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Для оценки степени регионального риска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автором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разработана</w:t>
      </w:r>
      <w:r w:rsidR="00291DF2" w:rsidRPr="008537C8">
        <w:rPr>
          <w:b w:val="0"/>
          <w:bCs w:val="0"/>
          <w:sz w:val="28"/>
          <w:szCs w:val="28"/>
        </w:rPr>
        <w:t xml:space="preserve"> </w:t>
      </w:r>
      <w:r w:rsidRPr="008537C8">
        <w:rPr>
          <w:b w:val="0"/>
          <w:bCs w:val="0"/>
          <w:sz w:val="28"/>
          <w:szCs w:val="28"/>
        </w:rPr>
        <w:t>шкала оценки, представленная в таблице 4.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Таблица 4- Шкала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оценки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регионального риска (составлено автором)</w:t>
      </w:r>
    </w:p>
    <w:tbl>
      <w:tblPr>
        <w:tblStyle w:val="af1"/>
        <w:tblW w:w="3821" w:type="dxa"/>
        <w:tblInd w:w="709" w:type="dxa"/>
        <w:tblLook w:val="0400" w:firstRow="0" w:lastRow="0" w:firstColumn="0" w:lastColumn="0" w:noHBand="0" w:noVBand="1"/>
      </w:tblPr>
      <w:tblGrid>
        <w:gridCol w:w="1970"/>
        <w:gridCol w:w="1851"/>
      </w:tblGrid>
      <w:tr w:rsidR="00703FF5" w:rsidRPr="008537C8" w:rsidTr="004302B3"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Оценка риска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Количество баллов</w:t>
            </w:r>
          </w:p>
        </w:tc>
      </w:tr>
      <w:tr w:rsidR="00703FF5" w:rsidRPr="008537C8" w:rsidTr="004302B3"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Минимальный риск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До 20</w:t>
            </w:r>
          </w:p>
        </w:tc>
      </w:tr>
      <w:tr w:rsidR="00703FF5" w:rsidRPr="008537C8" w:rsidTr="004302B3"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Небольшой риск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20-40</w:t>
            </w:r>
          </w:p>
        </w:tc>
      </w:tr>
      <w:tr w:rsidR="00703FF5" w:rsidRPr="008537C8" w:rsidTr="004302B3"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Средний риск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41-60</w:t>
            </w:r>
          </w:p>
        </w:tc>
      </w:tr>
      <w:tr w:rsidR="00703FF5" w:rsidRPr="008537C8" w:rsidTr="004302B3"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Высокий риск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61-80</w:t>
            </w:r>
          </w:p>
        </w:tc>
      </w:tr>
      <w:tr w:rsidR="00703FF5" w:rsidRPr="008537C8" w:rsidTr="004302B3"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Очень высокий риск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81-100</w:t>
            </w:r>
          </w:p>
        </w:tc>
      </w:tr>
    </w:tbl>
    <w:p w:rsidR="00703FF5" w:rsidRPr="008537C8" w:rsidRDefault="00926047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8537C8">
        <w:rPr>
          <w:b w:val="0"/>
          <w:bCs w:val="0"/>
          <w:sz w:val="28"/>
          <w:szCs w:val="28"/>
        </w:rPr>
        <w:br w:type="page"/>
      </w:r>
      <w:r w:rsidR="00703FF5" w:rsidRPr="008537C8">
        <w:rPr>
          <w:b w:val="0"/>
          <w:bCs w:val="0"/>
          <w:sz w:val="28"/>
          <w:szCs w:val="28"/>
        </w:rPr>
        <w:lastRenderedPageBreak/>
        <w:t>В диссертационной работе проведена оценка регионального риска по предложенной автором методике в масложировой отрасли Краснодарского края (таблица 5).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Данные исследования позволяют констатировать, что по уровню регионального риска в масложировой отрасли Краснодарский край относится к регионам со средним уровнем риска. С одной стороны,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край является одним из крупнейших производителей масличного сырья и растительного масла,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 крае создана система поддержки сельского хозяйства местными органами власти. С другой стороны, в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отрасли достаточно высок уровень конкурентной борьбы и высокая насыщенность рынка масложировой продукцией.</w:t>
      </w:r>
    </w:p>
    <w:p w:rsidR="00703FF5" w:rsidRPr="008537C8" w:rsidRDefault="00703FF5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</w:p>
    <w:p w:rsidR="00703FF5" w:rsidRPr="008537C8" w:rsidRDefault="00703FF5" w:rsidP="00291DF2">
      <w:pPr>
        <w:pStyle w:val="a5"/>
        <w:widowControl w:val="0"/>
        <w:suppressAutoHyphens/>
        <w:spacing w:line="360" w:lineRule="auto"/>
        <w:ind w:firstLine="709"/>
        <w:jc w:val="both"/>
        <w:rPr>
          <w:b w:val="0"/>
          <w:bCs w:val="0"/>
          <w:sz w:val="28"/>
          <w:szCs w:val="28"/>
        </w:rPr>
      </w:pPr>
      <w:r w:rsidRPr="008537C8">
        <w:rPr>
          <w:b w:val="0"/>
          <w:bCs w:val="0"/>
          <w:sz w:val="28"/>
          <w:szCs w:val="28"/>
        </w:rPr>
        <w:t>Таблица 5– Оценка уровня регионального риска масложировой отрасли Краснодарского края</w:t>
      </w:r>
    </w:p>
    <w:tbl>
      <w:tblPr>
        <w:tblStyle w:val="af1"/>
        <w:tblW w:w="9180" w:type="dxa"/>
        <w:tblLook w:val="0400" w:firstRow="0" w:lastRow="0" w:firstColumn="0" w:lastColumn="0" w:noHBand="0" w:noVBand="1"/>
      </w:tblPr>
      <w:tblGrid>
        <w:gridCol w:w="2805"/>
        <w:gridCol w:w="5117"/>
        <w:gridCol w:w="1258"/>
      </w:tblGrid>
      <w:tr w:rsidR="00703FF5" w:rsidRPr="008537C8" w:rsidTr="00090193">
        <w:tc>
          <w:tcPr>
            <w:tcW w:w="0" w:type="auto"/>
          </w:tcPr>
          <w:p w:rsidR="00703FF5" w:rsidRPr="008537C8" w:rsidRDefault="00703FF5" w:rsidP="0009019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Название блока показателей</w:t>
            </w:r>
          </w:p>
        </w:tc>
        <w:tc>
          <w:tcPr>
            <w:tcW w:w="0" w:type="auto"/>
          </w:tcPr>
          <w:p w:rsidR="00703FF5" w:rsidRPr="008537C8" w:rsidRDefault="00703FF5" w:rsidP="0009019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Название показателей</w:t>
            </w:r>
          </w:p>
        </w:tc>
        <w:tc>
          <w:tcPr>
            <w:tcW w:w="1258" w:type="dxa"/>
          </w:tcPr>
          <w:p w:rsidR="00703FF5" w:rsidRPr="008537C8" w:rsidRDefault="00703FF5" w:rsidP="0009019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Количество баллов</w:t>
            </w:r>
          </w:p>
        </w:tc>
      </w:tr>
      <w:tr w:rsidR="00703FF5" w:rsidRPr="008537C8" w:rsidTr="00090193">
        <w:tc>
          <w:tcPr>
            <w:tcW w:w="0" w:type="auto"/>
            <w:vMerge w:val="restart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Региональная нормативно-правовая база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Отсутствие региональной программы развития и поддержки отрасли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0</w:t>
            </w:r>
          </w:p>
        </w:tc>
      </w:tr>
      <w:tr w:rsidR="00703FF5" w:rsidRPr="008537C8" w:rsidTr="00090193">
        <w:tc>
          <w:tcPr>
            <w:tcW w:w="0" w:type="auto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 xml:space="preserve">Наличие банкротств предприятий в данной отрасли 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20</w:t>
            </w:r>
          </w:p>
        </w:tc>
      </w:tr>
      <w:tr w:rsidR="00703FF5" w:rsidRPr="008537C8" w:rsidTr="00090193">
        <w:tc>
          <w:tcPr>
            <w:tcW w:w="0" w:type="auto"/>
            <w:vMerge w:val="restart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Социально-демографическая ситуация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Снижение численности населения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15</w:t>
            </w:r>
          </w:p>
        </w:tc>
      </w:tr>
      <w:tr w:rsidR="00703FF5" w:rsidRPr="008537C8" w:rsidTr="00090193">
        <w:tc>
          <w:tcPr>
            <w:tcW w:w="0" w:type="auto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Снижение реального среднедушевого дохода населения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0</w:t>
            </w:r>
          </w:p>
        </w:tc>
      </w:tr>
      <w:tr w:rsidR="00703FF5" w:rsidRPr="008537C8" w:rsidTr="00090193">
        <w:tc>
          <w:tcPr>
            <w:tcW w:w="0" w:type="auto"/>
            <w:vMerge w:val="restart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Состояние потребительского рынка в регионе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Отсутствие в регионе крупных оптовых покупателей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0</w:t>
            </w:r>
          </w:p>
        </w:tc>
      </w:tr>
      <w:tr w:rsidR="00703FF5" w:rsidRPr="008537C8" w:rsidTr="00090193">
        <w:tc>
          <w:tcPr>
            <w:tcW w:w="0" w:type="auto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Наличие конкурентов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10</w:t>
            </w:r>
          </w:p>
        </w:tc>
      </w:tr>
      <w:tr w:rsidR="00703FF5" w:rsidRPr="008537C8" w:rsidTr="00090193">
        <w:tc>
          <w:tcPr>
            <w:tcW w:w="0" w:type="auto"/>
            <w:vMerge w:val="restart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Уровень предпринимательской активности</w:t>
            </w: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Строительство новых предприятий масложировой промышленности или введение новых технологий на существующих предприятиях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10</w:t>
            </w:r>
          </w:p>
        </w:tc>
      </w:tr>
      <w:tr w:rsidR="00703FF5" w:rsidRPr="008537C8" w:rsidTr="00090193">
        <w:tc>
          <w:tcPr>
            <w:tcW w:w="0" w:type="auto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Наличие импортной продукции масложировой промышленности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0</w:t>
            </w:r>
          </w:p>
        </w:tc>
      </w:tr>
      <w:tr w:rsidR="00703FF5" w:rsidRPr="008537C8" w:rsidTr="00090193">
        <w:tc>
          <w:tcPr>
            <w:tcW w:w="0" w:type="auto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both"/>
              <w:rPr>
                <w:sz w:val="20"/>
                <w:szCs w:val="28"/>
              </w:rPr>
            </w:pPr>
          </w:p>
        </w:tc>
        <w:tc>
          <w:tcPr>
            <w:tcW w:w="0" w:type="auto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 xml:space="preserve">Наличие продукции из других регионов страны 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5</w:t>
            </w:r>
          </w:p>
        </w:tc>
      </w:tr>
      <w:tr w:rsidR="00703FF5" w:rsidRPr="008537C8" w:rsidTr="00090193">
        <w:tc>
          <w:tcPr>
            <w:tcW w:w="0" w:type="auto"/>
            <w:gridSpan w:val="2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jc w:val="both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sz w:val="20"/>
                <w:szCs w:val="28"/>
              </w:rPr>
              <w:t>Итого баллов</w:t>
            </w:r>
          </w:p>
        </w:tc>
        <w:tc>
          <w:tcPr>
            <w:tcW w:w="1258" w:type="dxa"/>
          </w:tcPr>
          <w:p w:rsidR="00703FF5" w:rsidRPr="008537C8" w:rsidRDefault="00703FF5" w:rsidP="004302B3">
            <w:pPr>
              <w:pStyle w:val="a5"/>
              <w:widowControl w:val="0"/>
              <w:suppressAutoHyphens/>
              <w:spacing w:line="360" w:lineRule="auto"/>
              <w:rPr>
                <w:b w:val="0"/>
                <w:sz w:val="20"/>
                <w:szCs w:val="28"/>
              </w:rPr>
            </w:pPr>
            <w:r w:rsidRPr="008537C8">
              <w:rPr>
                <w:b w:val="0"/>
                <w:bCs w:val="0"/>
                <w:sz w:val="20"/>
                <w:szCs w:val="28"/>
              </w:rPr>
              <w:t>60</w:t>
            </w:r>
          </w:p>
        </w:tc>
      </w:tr>
    </w:tbl>
    <w:p w:rsidR="00090193" w:rsidRPr="008537C8" w:rsidRDefault="00090193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В целом система управления финансовыми ресурсами на предприятии, предлагаемая в диссертационной работе, включает пять основных блоков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(рисунок 2).</w:t>
      </w:r>
    </w:p>
    <w:p w:rsidR="00291DF2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iCs/>
          <w:sz w:val="28"/>
          <w:szCs w:val="28"/>
        </w:rPr>
        <w:lastRenderedPageBreak/>
        <w:t>Блок 1 – Идентификация финансовых рисков.</w:t>
      </w:r>
      <w:r w:rsidRPr="008537C8">
        <w:rPr>
          <w:sz w:val="28"/>
          <w:szCs w:val="28"/>
        </w:rPr>
        <w:t xml:space="preserve"> На предприятиях необходимо ввести процедуру выявления и идентификации видов финансовых рисков, которая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может базироваться на предложенной в диссертационном исследовании классификации финансовых рисков.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Для определения степени влияния каждого риска на финансовое состояние предприятия и с целью изучения взаимосвязи между выявленными рисками целесообразно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составление портфеля идентифицированных видов финансового риска (таблица 7</w:t>
      </w:r>
      <w:r w:rsidR="00B23766" w:rsidRPr="008537C8">
        <w:rPr>
          <w:sz w:val="28"/>
          <w:szCs w:val="28"/>
        </w:rPr>
        <w:t>).</w:t>
      </w:r>
    </w:p>
    <w:p w:rsidR="00B23766" w:rsidRPr="00B135FB" w:rsidRDefault="00B2376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6676" w:rsidRPr="00B135FB" w:rsidRDefault="0070667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6676" w:rsidRPr="008537C8" w:rsidRDefault="0070667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  <w:sectPr w:rsidR="00706676" w:rsidRPr="008537C8" w:rsidSect="00291DF2">
          <w:pgSz w:w="11906" w:h="16838"/>
          <w:pgMar w:top="1134" w:right="850" w:bottom="1134" w:left="1701" w:header="709" w:footer="709" w:gutter="0"/>
          <w:pgNumType w:start="1"/>
          <w:cols w:space="708"/>
          <w:docGrid w:linePitch="360"/>
        </w:sectPr>
      </w:pP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lastRenderedPageBreak/>
        <w:t>Таблица 7 – Портфель идентифицированных видов финансового риска</w:t>
      </w:r>
    </w:p>
    <w:tbl>
      <w:tblPr>
        <w:tblStyle w:val="af1"/>
        <w:tblW w:w="0" w:type="auto"/>
        <w:tblLayout w:type="fixed"/>
        <w:tblLook w:val="0400" w:firstRow="0" w:lastRow="0" w:firstColumn="0" w:lastColumn="0" w:noHBand="0" w:noVBand="1"/>
      </w:tblPr>
      <w:tblGrid>
        <w:gridCol w:w="416"/>
        <w:gridCol w:w="1819"/>
        <w:gridCol w:w="623"/>
        <w:gridCol w:w="623"/>
        <w:gridCol w:w="687"/>
        <w:gridCol w:w="760"/>
        <w:gridCol w:w="577"/>
        <w:gridCol w:w="577"/>
        <w:gridCol w:w="899"/>
        <w:gridCol w:w="899"/>
        <w:gridCol w:w="693"/>
        <w:gridCol w:w="693"/>
        <w:gridCol w:w="756"/>
        <w:gridCol w:w="756"/>
        <w:gridCol w:w="629"/>
        <w:gridCol w:w="629"/>
        <w:gridCol w:w="905"/>
        <w:gridCol w:w="905"/>
        <w:gridCol w:w="577"/>
      </w:tblGrid>
      <w:tr w:rsidR="00703FF5" w:rsidRPr="008537C8" w:rsidTr="00706676">
        <w:tc>
          <w:tcPr>
            <w:tcW w:w="416" w:type="dxa"/>
            <w:vMerge w:val="restart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№</w:t>
            </w:r>
          </w:p>
        </w:tc>
        <w:tc>
          <w:tcPr>
            <w:tcW w:w="1819" w:type="dxa"/>
            <w:vMerge w:val="restart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Вид риска</w:t>
            </w:r>
          </w:p>
        </w:tc>
        <w:tc>
          <w:tcPr>
            <w:tcW w:w="11611" w:type="dxa"/>
            <w:gridSpan w:val="16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Направления управления финансами</w:t>
            </w:r>
          </w:p>
        </w:tc>
        <w:tc>
          <w:tcPr>
            <w:tcW w:w="577" w:type="dxa"/>
            <w:vMerge w:val="restart"/>
            <w:textDirection w:val="btLr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Общая сумма</w:t>
            </w:r>
          </w:p>
        </w:tc>
      </w:tr>
      <w:tr w:rsidR="00703FF5" w:rsidRPr="008537C8" w:rsidTr="00706676">
        <w:tc>
          <w:tcPr>
            <w:tcW w:w="416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1819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2693" w:type="dxa"/>
            <w:gridSpan w:val="4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Инвестирование</w:t>
            </w:r>
          </w:p>
        </w:tc>
        <w:tc>
          <w:tcPr>
            <w:tcW w:w="4338" w:type="dxa"/>
            <w:gridSpan w:val="6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Управление оборотными активами</w:t>
            </w:r>
          </w:p>
        </w:tc>
        <w:tc>
          <w:tcPr>
            <w:tcW w:w="4580" w:type="dxa"/>
            <w:gridSpan w:val="6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Управление капиталом</w:t>
            </w:r>
          </w:p>
        </w:tc>
        <w:tc>
          <w:tcPr>
            <w:tcW w:w="577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rPr>
          <w:trHeight w:val="501"/>
        </w:trPr>
        <w:tc>
          <w:tcPr>
            <w:tcW w:w="416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1819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1246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 реальные активы</w:t>
            </w:r>
          </w:p>
        </w:tc>
        <w:tc>
          <w:tcPr>
            <w:tcW w:w="1447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 финансовые активы</w:t>
            </w:r>
          </w:p>
        </w:tc>
        <w:tc>
          <w:tcPr>
            <w:tcW w:w="1154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Запасами</w:t>
            </w:r>
          </w:p>
        </w:tc>
        <w:tc>
          <w:tcPr>
            <w:tcW w:w="1798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Дебиторской задолженностью</w:t>
            </w:r>
          </w:p>
        </w:tc>
        <w:tc>
          <w:tcPr>
            <w:tcW w:w="1386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Денежными средствами</w:t>
            </w:r>
          </w:p>
        </w:tc>
        <w:tc>
          <w:tcPr>
            <w:tcW w:w="1512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Собственным капиталом</w:t>
            </w:r>
          </w:p>
        </w:tc>
        <w:tc>
          <w:tcPr>
            <w:tcW w:w="1258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Заемным капиталом</w:t>
            </w:r>
          </w:p>
        </w:tc>
        <w:tc>
          <w:tcPr>
            <w:tcW w:w="1810" w:type="dxa"/>
            <w:gridSpan w:val="2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Кредиторской задолженностью</w:t>
            </w:r>
          </w:p>
        </w:tc>
        <w:tc>
          <w:tcPr>
            <w:tcW w:w="577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rPr>
          <w:trHeight w:val="870"/>
        </w:trPr>
        <w:tc>
          <w:tcPr>
            <w:tcW w:w="416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1819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623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687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760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577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577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899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899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693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693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756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756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629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629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905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Наличие</w:t>
            </w:r>
          </w:p>
        </w:tc>
        <w:tc>
          <w:tcPr>
            <w:tcW w:w="905" w:type="dxa"/>
            <w:textDirection w:val="btLr"/>
            <w:vAlign w:val="center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Сумма</w:t>
            </w:r>
          </w:p>
        </w:tc>
        <w:tc>
          <w:tcPr>
            <w:tcW w:w="577" w:type="dxa"/>
            <w:vMerge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14423" w:type="dxa"/>
            <w:gridSpan w:val="19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Внешние (систематические) виды риска</w:t>
            </w: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1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Инфляционный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2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Процентный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3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Законодательный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4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Валютный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5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Биржевой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14423" w:type="dxa"/>
            <w:gridSpan w:val="19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Внутренние (несистематические) виды риска</w:t>
            </w: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6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Кредитный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7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Риск потери ликвидности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8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Риск потери финансовой независимости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9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Селективный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+</w:t>
            </w: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  <w:tr w:rsidR="00703FF5" w:rsidRPr="008537C8" w:rsidTr="00706676">
        <w:tc>
          <w:tcPr>
            <w:tcW w:w="41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10</w:t>
            </w:r>
          </w:p>
        </w:tc>
        <w:tc>
          <w:tcPr>
            <w:tcW w:w="1819" w:type="dxa"/>
          </w:tcPr>
          <w:p w:rsidR="00703FF5" w:rsidRPr="008537C8" w:rsidRDefault="00703FF5" w:rsidP="00706676">
            <w:pPr>
              <w:widowControl w:val="0"/>
              <w:suppressAutoHyphens/>
              <w:spacing w:line="360" w:lineRule="auto"/>
              <w:rPr>
                <w:sz w:val="20"/>
                <w:szCs w:val="28"/>
              </w:rPr>
            </w:pPr>
            <w:r w:rsidRPr="008537C8">
              <w:rPr>
                <w:sz w:val="20"/>
                <w:szCs w:val="28"/>
              </w:rPr>
              <w:t>Депозитный</w:t>
            </w: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8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60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89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93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756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629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905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  <w:tc>
          <w:tcPr>
            <w:tcW w:w="577" w:type="dxa"/>
          </w:tcPr>
          <w:p w:rsidR="00703FF5" w:rsidRPr="008537C8" w:rsidRDefault="00703FF5" w:rsidP="004302B3">
            <w:pPr>
              <w:widowControl w:val="0"/>
              <w:suppressAutoHyphens/>
              <w:spacing w:line="360" w:lineRule="auto"/>
              <w:jc w:val="center"/>
              <w:rPr>
                <w:sz w:val="20"/>
                <w:szCs w:val="28"/>
              </w:rPr>
            </w:pPr>
          </w:p>
        </w:tc>
      </w:tr>
    </w:tbl>
    <w:p w:rsidR="00703FF5" w:rsidRPr="008537C8" w:rsidRDefault="00291DF2" w:rsidP="00291DF2">
      <w:pPr>
        <w:widowControl w:val="0"/>
        <w:suppressAutoHyphens/>
        <w:spacing w:line="360" w:lineRule="auto"/>
        <w:ind w:firstLine="709"/>
        <w:jc w:val="both"/>
        <w:rPr>
          <w:sz w:val="28"/>
        </w:rPr>
      </w:pPr>
      <w:r w:rsidRPr="008537C8">
        <w:rPr>
          <w:sz w:val="28"/>
          <w:szCs w:val="22"/>
        </w:rPr>
        <w:t>"</w:t>
      </w:r>
      <w:r w:rsidR="00703FF5" w:rsidRPr="008537C8">
        <w:rPr>
          <w:sz w:val="28"/>
          <w:szCs w:val="22"/>
        </w:rPr>
        <w:t>+</w:t>
      </w:r>
      <w:r w:rsidRPr="008537C8">
        <w:rPr>
          <w:sz w:val="28"/>
          <w:szCs w:val="22"/>
        </w:rPr>
        <w:t>"</w:t>
      </w:r>
      <w:r w:rsidR="00703FF5" w:rsidRPr="008537C8">
        <w:rPr>
          <w:sz w:val="28"/>
          <w:szCs w:val="22"/>
        </w:rPr>
        <w:t xml:space="preserve"> - оказывает воздействие</w:t>
      </w:r>
    </w:p>
    <w:p w:rsidR="00706676" w:rsidRPr="008537C8" w:rsidRDefault="00706676" w:rsidP="00291DF2">
      <w:pPr>
        <w:pStyle w:val="a3"/>
        <w:widowControl w:val="0"/>
        <w:suppressAutoHyphens/>
        <w:rPr>
          <w:szCs w:val="28"/>
          <w:lang w:val="en-US"/>
        </w:rPr>
      </w:pPr>
    </w:p>
    <w:p w:rsidR="00706676" w:rsidRPr="008537C8" w:rsidRDefault="00706676" w:rsidP="00291DF2">
      <w:pPr>
        <w:pStyle w:val="a3"/>
        <w:widowControl w:val="0"/>
        <w:suppressAutoHyphens/>
        <w:rPr>
          <w:szCs w:val="28"/>
          <w:lang w:val="en-US"/>
        </w:rPr>
        <w:sectPr w:rsidR="00706676" w:rsidRPr="008537C8" w:rsidSect="00706676">
          <w:pgSz w:w="16838" w:h="11906" w:orient="landscape"/>
          <w:pgMar w:top="1134" w:right="851" w:bottom="1134" w:left="1701" w:header="709" w:footer="709" w:gutter="0"/>
          <w:pgNumType w:start="1"/>
          <w:cols w:space="708"/>
          <w:docGrid w:linePitch="360"/>
        </w:sectPr>
      </w:pPr>
    </w:p>
    <w:p w:rsidR="00291DF2" w:rsidRPr="008537C8" w:rsidRDefault="00703FF5" w:rsidP="00291DF2">
      <w:pPr>
        <w:pStyle w:val="a3"/>
        <w:widowControl w:val="0"/>
        <w:suppressAutoHyphens/>
        <w:rPr>
          <w:szCs w:val="28"/>
        </w:rPr>
      </w:pPr>
      <w:r w:rsidRPr="008537C8">
        <w:rPr>
          <w:szCs w:val="28"/>
        </w:rPr>
        <w:lastRenderedPageBreak/>
        <w:t>Подобная таблица, построенная совместно финансовым менеджером, бухгалтером и работниками</w:t>
      </w:r>
      <w:r w:rsidR="00291DF2" w:rsidRPr="008537C8">
        <w:rPr>
          <w:szCs w:val="28"/>
        </w:rPr>
        <w:t xml:space="preserve"> </w:t>
      </w:r>
      <w:r w:rsidRPr="008537C8">
        <w:rPr>
          <w:szCs w:val="28"/>
        </w:rPr>
        <w:t>службы логистики, позволяет выявить финансовые риски предприятия по видам, определить сумму финансовых ресурсов, находящуюся под воздействием определенного риска, оценить совокупное влияние различных рисков на какой-либо актив или пассив предприятия. Такая процедура упрощает процесс ранжирования рисков и оценку влияния каждого его вида на финансовое состояние предприятия.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iCs/>
          <w:sz w:val="28"/>
          <w:szCs w:val="28"/>
        </w:rPr>
        <w:t xml:space="preserve">Блок 2. Анализ и оценка финансовых рисков. </w:t>
      </w:r>
      <w:r w:rsidRPr="008537C8">
        <w:rPr>
          <w:sz w:val="28"/>
          <w:szCs w:val="28"/>
        </w:rPr>
        <w:t>Исходя из необходимости оценки совокупного влияния финансовых рисков с учетом влияния внешней среды, анализ финансовых рисков предполагается проводить в двух направлениях. Во-первых, оценка общего финансового риска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на основе разработанной автором модели прогнозирования риска финансовой несостоятельности для предприятий масложирового комплекса, которая должна быть дополнена предложенной балльной оценкой внешней среды функционирования предприятия. В дальнейшем,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исходя из результатов оценки, может быть сформулирована стратегия управления финансовыми рисками.</w:t>
      </w:r>
      <w:r w:rsidR="00706676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Во-вторых, на основе портфеля финансовых рисков целесообразно оценить степень воздействия частных финансовых рисков на деятельность предприятия. В данном случае целесообразно использовать методы оценки финансовой устойчивости и платежеспособности.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iCs/>
          <w:sz w:val="28"/>
          <w:szCs w:val="28"/>
        </w:rPr>
        <w:t>Блок 3</w:t>
      </w:r>
      <w:r w:rsidRPr="008537C8">
        <w:rPr>
          <w:sz w:val="28"/>
          <w:szCs w:val="28"/>
        </w:rPr>
        <w:t xml:space="preserve"> –</w:t>
      </w:r>
      <w:r w:rsidRPr="008537C8">
        <w:rPr>
          <w:iCs/>
          <w:sz w:val="28"/>
          <w:szCs w:val="28"/>
        </w:rPr>
        <w:t xml:space="preserve"> Выбор методов воздействия на финансовые риски</w:t>
      </w:r>
      <w:r w:rsidRPr="008537C8">
        <w:rPr>
          <w:sz w:val="28"/>
          <w:szCs w:val="28"/>
        </w:rPr>
        <w:t>.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Для повышения оперативности процесса выбора и применения различных методов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снижения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финансового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риска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в работе предложено использовать карты риск-менеджмента по каждому виду финансового риска. Карта содержит описание каждого вида финансового риска, его влияния на финансово-хозяйственную деятельность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предприятия 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методы оперативного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управления данным видом риска. В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диссертационном исследовании разработаны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карты риск-менеджмента по каждому виду финансового риска, представленному в авторской классификации.</w:t>
      </w:r>
    </w:p>
    <w:p w:rsidR="00B23766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iCs/>
          <w:sz w:val="28"/>
          <w:szCs w:val="28"/>
        </w:rPr>
        <w:t>Блок 4</w:t>
      </w:r>
      <w:r w:rsidRPr="008537C8">
        <w:rPr>
          <w:sz w:val="28"/>
          <w:szCs w:val="28"/>
        </w:rPr>
        <w:t xml:space="preserve"> –</w:t>
      </w:r>
      <w:r w:rsidRPr="008537C8">
        <w:rPr>
          <w:iCs/>
          <w:sz w:val="28"/>
          <w:szCs w:val="28"/>
        </w:rPr>
        <w:t xml:space="preserve"> Применение методов воздействия на финансовые риски.</w:t>
      </w:r>
      <w:r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lastRenderedPageBreak/>
        <w:t>После выбора оптимальных способов воздействия на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конкретные риски и формирования общей стратегии управления комплексом финансовых рисков предприятия осуществляется непосредственное воздействие на риски.</w:t>
      </w:r>
    </w:p>
    <w:p w:rsidR="00B23766" w:rsidRPr="008537C8" w:rsidRDefault="00B2376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3420EB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57" style="width:363.35pt;height:543.7pt;mso-position-horizontal-relative:char;mso-position-vertical-relative:line" coordorigin="1674,1574" coordsize="9360,13857">
            <v:shape id="_x0000_s1058" type="#_x0000_t202" style="position:absolute;left:1854;top:1574;width:3060;height:900">
              <v:textbox style="mso-next-textbox:#_x0000_s1058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Идентификация  финансовых рисков</w:t>
                    </w:r>
                  </w:p>
                </w:txbxContent>
              </v:textbox>
            </v:shape>
            <v:shape id="_x0000_s1059" type="#_x0000_t202" style="position:absolute;left:2934;top:2831;width:3060;height:1440">
              <v:textbox style="mso-next-textbox:#_x0000_s1059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Изучение внешних и внутренних источников информации</w:t>
                    </w:r>
                  </w:p>
                </w:txbxContent>
              </v:textbox>
            </v:shape>
            <v:shape id="_x0000_s1060" type="#_x0000_t202" style="position:absolute;left:6354;top:2831;width:1980;height:1440">
              <v:textbox style="mso-next-textbox:#_x0000_s1060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Изучение симптомов проявления риска</w:t>
                    </w:r>
                  </w:p>
                </w:txbxContent>
              </v:textbox>
            </v:shape>
            <v:shape id="_x0000_s1061" type="#_x0000_t202" style="position:absolute;left:8694;top:2831;width:1980;height:1440">
              <v:textbox style="mso-next-textbox:#_x0000_s1061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Составление портфеля финансовых рисков</w:t>
                    </w:r>
                  </w:p>
                </w:txbxContent>
              </v:textbox>
            </v:shape>
            <v:shape id="_x0000_s1062" type="#_x0000_t202" style="position:absolute;left:1854;top:4634;width:2880;height:900">
              <v:textbox style="mso-next-textbox:#_x0000_s1062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Анализ и оценка финансовых рисков</w:t>
                    </w:r>
                  </w:p>
                </w:txbxContent>
              </v:textbox>
            </v:shape>
            <v:shape id="_x0000_s1063" type="#_x0000_t202" style="position:absolute;left:5994;top:6065;width:1980;height:1440">
              <v:textbox style="mso-next-textbox:#_x0000_s1063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Оценка общего финансового риска</w:t>
                    </w:r>
                  </w:p>
                </w:txbxContent>
              </v:textbox>
            </v:shape>
            <v:shape id="_x0000_s1064" type="#_x0000_t202" style="position:absolute;left:8334;top:6065;width:2520;height:1440">
              <v:textbox style="mso-next-textbox:#_x0000_s1064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Анализ и оценка частных финансовых рисков</w:t>
                    </w:r>
                  </w:p>
                </w:txbxContent>
              </v:textbox>
            </v:shape>
            <v:shape id="_x0000_s1065" type="#_x0000_t202" style="position:absolute;left:1674;top:7854;width:3420;height:1080">
              <v:textbox style="mso-next-textbox:#_x0000_s1065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Выбор методов воздействия на финансовые риски</w:t>
                    </w:r>
                  </w:p>
                </w:txbxContent>
              </v:textbox>
            </v:shape>
            <v:shape id="_x0000_s1066" type="#_x0000_t202" style="position:absolute;left:3834;top:9285;width:3060;height:1080">
              <v:textbox style="mso-next-textbox:#_x0000_s1066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Определение стратегии управления финансовыми рисками</w:t>
                    </w:r>
                  </w:p>
                </w:txbxContent>
              </v:textbox>
            </v:shape>
            <v:shape id="_x0000_s1067" type="#_x0000_t202" style="position:absolute;left:7614;top:9285;width:3420;height:1080">
              <v:textbox style="mso-next-textbox:#_x0000_s1067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Выбор методов управления конкретными видами риска</w:t>
                    </w:r>
                  </w:p>
                </w:txbxContent>
              </v:textbox>
            </v:shape>
            <v:shape id="_x0000_s1068" type="#_x0000_t202" style="position:absolute;left:1854;top:10896;width:3780;height:1080">
              <v:textbox style="mso-next-textbox:#_x0000_s1068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Применение методов воздействия на финансовые риски</w:t>
                    </w:r>
                  </w:p>
                </w:txbxContent>
              </v:textbox>
            </v:shape>
            <v:shape id="_x0000_s1069" type="#_x0000_t202" style="position:absolute;left:1854;top:12366;width:3960;height:1221">
              <v:textbox style="mso-next-textbox:#_x0000_s1069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Контроль использования совокупности выбранных инструментов</w:t>
                    </w:r>
                  </w:p>
                </w:txbxContent>
              </v:textbox>
            </v:shape>
            <v:shape id="_x0000_s1070" type="#_x0000_t202" style="position:absolute;left:3114;top:13991;width:3960;height:900">
              <v:textbox style="mso-next-textbox:#_x0000_s1070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Контроль уровня общего финансового риска</w:t>
                    </w:r>
                  </w:p>
                </w:txbxContent>
              </v:textbox>
            </v:shape>
            <v:shape id="_x0000_s1071" type="#_x0000_t202" style="position:absolute;left:7434;top:13991;width:3420;height:1440">
              <v:textbox style="mso-next-textbox:#_x0000_s1071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Контроль и корректировка управления финансовыми рисками</w:t>
                    </w:r>
                  </w:p>
                </w:txbxContent>
              </v:textbox>
            </v:shape>
            <v:shape id="_x0000_s1072" type="#_x0000_t202" style="position:absolute;left:3294;top:6065;width:2160;height:1440">
              <v:textbox style="mso-next-textbox:#_x0000_s1072">
                <w:txbxContent>
                  <w:p w:rsidR="00291DF2" w:rsidRPr="00B23766" w:rsidRDefault="00291DF2" w:rsidP="00703FF5">
                    <w:pPr>
                      <w:rPr>
                        <w:sz w:val="20"/>
                        <w:szCs w:val="20"/>
                      </w:rPr>
                    </w:pPr>
                    <w:r w:rsidRPr="00B23766">
                      <w:rPr>
                        <w:sz w:val="20"/>
                        <w:szCs w:val="20"/>
                      </w:rPr>
                      <w:t>Оценка влияния внешней среды</w:t>
                    </w:r>
                  </w:p>
                </w:txbxContent>
              </v:textbox>
            </v:shape>
            <v:line id="_x0000_s1073" style="position:absolute" from="2034,2474" to="2034,4634">
              <v:stroke endarrow="block"/>
            </v:line>
            <v:line id="_x0000_s1074" style="position:absolute" from="2034,5528" to="2034,7868">
              <v:stroke endarrow="block"/>
            </v:line>
            <v:line id="_x0000_s1075" style="position:absolute" from="2034,8928" to="2034,10908">
              <v:stroke endarrow="block"/>
            </v:line>
            <v:line id="_x0000_s1076" style="position:absolute" from="2034,11970" to="2034,12330">
              <v:stroke endarrow="block"/>
            </v:line>
            <v:line id="_x0000_s1077" style="position:absolute" from="5994,3554" to="6354,3554">
              <v:stroke endarrow="block"/>
            </v:line>
            <v:line id="_x0000_s1078" style="position:absolute" from="8334,3554" to="8694,3554">
              <v:stroke endarrow="block"/>
            </v:line>
            <v:line id="_x0000_s1079" style="position:absolute" from="5094,4274" to="5094,6074">
              <v:stroke endarrow="block"/>
            </v:line>
            <v:line id="_x0000_s1080" style="position:absolute" from="9954,4274" to="9954,6074">
              <v:stroke endarrow="block"/>
            </v:line>
            <v:line id="_x0000_s1081" style="position:absolute" from="5094,7496" to="5094,7496">
              <v:stroke endarrow="block"/>
            </v:line>
            <v:line id="_x0000_s1082" style="position:absolute" from="5454,7496" to="5454,9296">
              <v:stroke endarrow="block"/>
            </v:line>
            <v:line id="_x0000_s1083" style="position:absolute" from="5994,7496" to="5994,9296">
              <v:stroke endarrow="block"/>
            </v:line>
            <v:line id="_x0000_s1084" style="position:absolute" from="10134,7496" to="10134,9296">
              <v:stroke endarrow="block"/>
            </v:line>
            <v:line id="_x0000_s1085" style="position:absolute" from="6894,9822" to="7614,9822">
              <v:stroke endarrow="block"/>
            </v:line>
            <v:line id="_x0000_s1086" style="position:absolute;flip:x" from="6894,7496" to="7254,13976">
              <v:stroke endarrow="block"/>
            </v:line>
            <v:line id="_x0000_s1087" style="position:absolute;flip:y" from="9594,4274" to="9594,6074">
              <v:stroke endarrow="block"/>
            </v:line>
            <v:line id="_x0000_s1088" style="position:absolute;flip:y" from="10314,10359" to="10314,13959">
              <v:stroke endarrow="block"/>
            </v:line>
            <v:line id="_x0000_s1089" style="position:absolute" from="4554,2474" to="4554,2834">
              <v:stroke endarrow="block"/>
            </v:line>
            <v:line id="_x0000_s1090" style="position:absolute" from="4374,5528" to="4374,6068">
              <v:stroke endarrow="block"/>
            </v:line>
            <v:line id="_x0000_s1091" style="position:absolute" from="4374,5528" to="6174,6068">
              <v:stroke endarrow="block"/>
            </v:line>
            <v:line id="_x0000_s1092" style="position:absolute" from="4374,5528" to="8334,6068">
              <v:stroke endarrow="block"/>
            </v:line>
            <v:line id="_x0000_s1093" style="position:absolute" from="4374,8928" to="4374,9288">
              <v:stroke endarrow="block"/>
            </v:line>
            <v:line id="_x0000_s1094" style="position:absolute" from="5274,13634" to="5274,13994">
              <v:stroke endarrow="block"/>
            </v:line>
            <v:line id="_x0000_s1095" style="position:absolute" from="5274,13634" to="7434,13994">
              <v:stroke endarrow="block"/>
            </v:line>
            <w10:wrap type="none"/>
            <w10:anchorlock/>
          </v:group>
        </w:pict>
      </w:r>
    </w:p>
    <w:p w:rsidR="00706676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t>Рис. 2 - Система управления финансовыми рисками (составлено автором)</w:t>
      </w:r>
    </w:p>
    <w:p w:rsidR="008537C8" w:rsidRPr="008537C8" w:rsidRDefault="00706676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sz w:val="28"/>
          <w:szCs w:val="28"/>
        </w:rPr>
        <w:br w:type="page"/>
      </w:r>
      <w:r w:rsidR="00703FF5" w:rsidRPr="008537C8">
        <w:rPr>
          <w:iCs/>
          <w:sz w:val="28"/>
          <w:szCs w:val="28"/>
        </w:rPr>
        <w:lastRenderedPageBreak/>
        <w:t>Блок 5</w:t>
      </w:r>
      <w:r w:rsidR="00703FF5" w:rsidRPr="008537C8">
        <w:rPr>
          <w:sz w:val="28"/>
          <w:szCs w:val="28"/>
        </w:rPr>
        <w:t xml:space="preserve"> –</w:t>
      </w:r>
      <w:r w:rsidR="00703FF5" w:rsidRPr="008537C8">
        <w:rPr>
          <w:iCs/>
          <w:sz w:val="28"/>
          <w:szCs w:val="28"/>
        </w:rPr>
        <w:t xml:space="preserve"> Контроль использования совокупности выбранных инструментов. </w:t>
      </w:r>
      <w:r w:rsidR="00703FF5" w:rsidRPr="008537C8">
        <w:rPr>
          <w:sz w:val="28"/>
          <w:szCs w:val="28"/>
        </w:rPr>
        <w:t>Контроль системы управления финансовыми рисками следует осуществлять на основе модели прогнозирования финансовой несостоятельности предприятий. Если после проведения мероприятий значение итогового показателя улучшилось по сравнению с первоначальным,</w:t>
      </w:r>
      <w:r w:rsidR="00291DF2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используемая система управления финансовым рисками соответствует рисковому профилю.</w:t>
      </w:r>
      <w:r w:rsidR="00291DF2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Такую проверку совокупного влияния рисков на финансовое состояние предприятия рекомендуется сочетать с контролем степени влияния тех видов финансовых рисков, которые в ходе ранжирования были признаны наиболее</w:t>
      </w:r>
      <w:r w:rsidR="00291DF2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существенными.</w:t>
      </w:r>
      <w:r w:rsidR="008537C8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Необходимым условием создания на предприятии эффективной системы управления финансовыми рисками является наличие нормативно-методического обеспечения этого вида управленческой деятельности.</w:t>
      </w:r>
      <w:r w:rsidR="008537C8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Комплекс нормативно-методических документов по управлению финансовыми рисками в деятельности предприятия должен включать</w:t>
      </w:r>
      <w:r w:rsidR="00291DF2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материалы, раскрывающие следующие направления:</w:t>
      </w:r>
      <w:r w:rsidR="008537C8" w:rsidRPr="008537C8">
        <w:rPr>
          <w:sz w:val="28"/>
          <w:szCs w:val="28"/>
        </w:rPr>
        <w:t xml:space="preserve"> 1)</w:t>
      </w:r>
      <w:r w:rsidR="00291DF2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обозначение теоретических понятий, их определение, классификация финансовых рисков;</w:t>
      </w:r>
      <w:r w:rsidR="008537C8" w:rsidRPr="008537C8">
        <w:rPr>
          <w:sz w:val="28"/>
          <w:szCs w:val="28"/>
        </w:rPr>
        <w:t xml:space="preserve"> 2)</w:t>
      </w:r>
      <w:r w:rsidR="00703FF5" w:rsidRPr="008537C8">
        <w:rPr>
          <w:sz w:val="28"/>
          <w:szCs w:val="28"/>
        </w:rPr>
        <w:t xml:space="preserve"> состав, организация и порядок процедур идентификации, анализ финансовых рисков и формирование управляющих воздействий;</w:t>
      </w:r>
      <w:r w:rsidR="008537C8" w:rsidRPr="008537C8">
        <w:rPr>
          <w:sz w:val="28"/>
          <w:szCs w:val="28"/>
        </w:rPr>
        <w:t xml:space="preserve"> 3)</w:t>
      </w:r>
      <w:r w:rsidR="00703FF5" w:rsidRPr="008537C8">
        <w:rPr>
          <w:sz w:val="28"/>
          <w:szCs w:val="28"/>
        </w:rPr>
        <w:t xml:space="preserve"> методика регистрации, хранения и использования результатов анализа и управления финансовыми рисками.</w:t>
      </w:r>
      <w:r w:rsidR="008537C8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Использование подобного нормативно-методического обеспечения процесса управления финансовыми рисками позволяет создать</w:t>
      </w:r>
      <w:r w:rsidR="00291DF2" w:rsidRPr="008537C8">
        <w:rPr>
          <w:sz w:val="28"/>
          <w:szCs w:val="28"/>
        </w:rPr>
        <w:t xml:space="preserve"> </w:t>
      </w:r>
      <w:r w:rsidR="00703FF5" w:rsidRPr="008537C8">
        <w:rPr>
          <w:sz w:val="28"/>
          <w:szCs w:val="28"/>
        </w:rPr>
        <w:t>систему регулярных процедур выявления и идентификации видов финансовых рисков в условиях конкретного предприятия, сузить поле непредвидимых и неучитываемых финансовых рисков.</w:t>
      </w:r>
      <w:r w:rsidR="008537C8" w:rsidRPr="008537C8">
        <w:rPr>
          <w:sz w:val="28"/>
          <w:szCs w:val="28"/>
        </w:rPr>
        <w:t xml:space="preserve"> </w:t>
      </w:r>
    </w:p>
    <w:p w:rsidR="00703FF5" w:rsidRPr="008537C8" w:rsidRDefault="00703FF5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537C8">
        <w:rPr>
          <w:b/>
          <w:sz w:val="28"/>
          <w:szCs w:val="28"/>
        </w:rPr>
        <w:t xml:space="preserve">В заключении </w:t>
      </w:r>
      <w:r w:rsidRPr="008537C8">
        <w:rPr>
          <w:sz w:val="28"/>
          <w:szCs w:val="28"/>
        </w:rPr>
        <w:t>сформулированы основные научные выводы, которые были</w:t>
      </w:r>
      <w:r w:rsidR="00291DF2" w:rsidRPr="008537C8">
        <w:rPr>
          <w:sz w:val="28"/>
          <w:szCs w:val="28"/>
        </w:rPr>
        <w:t xml:space="preserve"> </w:t>
      </w:r>
      <w:r w:rsidRPr="008537C8">
        <w:rPr>
          <w:sz w:val="28"/>
          <w:szCs w:val="28"/>
        </w:rPr>
        <w:t>получены автором в процессе проведения исследования, и даны рекомендации по совершенствованию управлению финансовыми рисками на производственных предприятиях.</w:t>
      </w:r>
    </w:p>
    <w:p w:rsidR="00703FF5" w:rsidRPr="00B40D84" w:rsidRDefault="00291DF2" w:rsidP="00291DF2">
      <w:pPr>
        <w:widowControl w:val="0"/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8537C8">
        <w:rPr>
          <w:sz w:val="28"/>
          <w:szCs w:val="28"/>
        </w:rPr>
        <w:br w:type="page"/>
      </w:r>
      <w:r w:rsidR="00703FF5" w:rsidRPr="00B40D84">
        <w:rPr>
          <w:b/>
          <w:sz w:val="28"/>
          <w:szCs w:val="28"/>
        </w:rPr>
        <w:t>Основные положения диссертации опубликованы</w:t>
      </w:r>
      <w:r w:rsidRPr="00B40D84">
        <w:rPr>
          <w:b/>
          <w:sz w:val="28"/>
          <w:szCs w:val="28"/>
        </w:rPr>
        <w:t xml:space="preserve"> </w:t>
      </w:r>
      <w:r w:rsidR="00703FF5" w:rsidRPr="00B40D84">
        <w:rPr>
          <w:b/>
          <w:sz w:val="28"/>
          <w:szCs w:val="28"/>
        </w:rPr>
        <w:t>в</w:t>
      </w:r>
      <w:r w:rsidRPr="00B40D84">
        <w:rPr>
          <w:b/>
          <w:sz w:val="28"/>
          <w:szCs w:val="28"/>
        </w:rPr>
        <w:t xml:space="preserve"> </w:t>
      </w:r>
      <w:r w:rsidR="00703FF5" w:rsidRPr="00B40D84">
        <w:rPr>
          <w:b/>
          <w:sz w:val="28"/>
          <w:szCs w:val="28"/>
        </w:rPr>
        <w:t>следующих рабо</w:t>
      </w:r>
      <w:r w:rsidRPr="00B40D84">
        <w:rPr>
          <w:b/>
          <w:sz w:val="28"/>
          <w:szCs w:val="28"/>
        </w:rPr>
        <w:t>тах</w:t>
      </w:r>
    </w:p>
    <w:p w:rsidR="00291DF2" w:rsidRPr="008537C8" w:rsidRDefault="00291DF2" w:rsidP="00291DF2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703FF5" w:rsidRPr="008537C8" w:rsidRDefault="00703FF5" w:rsidP="008537C8">
      <w:pPr>
        <w:widowControl w:val="0"/>
        <w:suppressAutoHyphens/>
        <w:spacing w:line="360" w:lineRule="auto"/>
        <w:rPr>
          <w:sz w:val="28"/>
          <w:szCs w:val="28"/>
        </w:rPr>
      </w:pPr>
      <w:r w:rsidRPr="008537C8">
        <w:rPr>
          <w:sz w:val="28"/>
          <w:szCs w:val="28"/>
        </w:rPr>
        <w:t>1. Соколова Н.В. Кадровый риск в системе предпринимательских рисков и пути его снижения// Актуальные проблемы профессиональной подготовки кадров для регионов: Материалы всероссийской научно-практической конференции с международным участием. – Краснодар: Кубан. гос. ун-т, 2002. – 190 с. с. 168-170. –0,2 п.л.</w:t>
      </w:r>
    </w:p>
    <w:p w:rsidR="00703FF5" w:rsidRPr="008537C8" w:rsidRDefault="00703FF5" w:rsidP="008537C8">
      <w:pPr>
        <w:widowControl w:val="0"/>
        <w:suppressAutoHyphens/>
        <w:spacing w:line="360" w:lineRule="auto"/>
        <w:rPr>
          <w:sz w:val="28"/>
          <w:szCs w:val="28"/>
        </w:rPr>
      </w:pPr>
      <w:r w:rsidRPr="008537C8">
        <w:rPr>
          <w:sz w:val="28"/>
          <w:szCs w:val="28"/>
        </w:rPr>
        <w:t xml:space="preserve">2. Соколова Н.В. Региональный аспект чистых предпринимательских рисков // Актуальные проблемы профессиональной подготовки кадров для регионов: Материалы всероссийской научно-практической конференции с международным участием . – Краснодар: Кубан. гос. ун-т, 2003. – 318 с. – </w:t>
      </w:r>
      <w:r w:rsidRPr="008537C8">
        <w:rPr>
          <w:sz w:val="28"/>
          <w:szCs w:val="28"/>
          <w:lang w:val="en-US"/>
        </w:rPr>
        <w:t>ISBN</w:t>
      </w:r>
      <w:r w:rsidRPr="008537C8">
        <w:rPr>
          <w:sz w:val="28"/>
          <w:szCs w:val="28"/>
        </w:rPr>
        <w:t xml:space="preserve"> 5-8209-0259-9 с. 251-253. –0,2 п.л.</w:t>
      </w:r>
    </w:p>
    <w:p w:rsidR="00703FF5" w:rsidRPr="008537C8" w:rsidRDefault="00703FF5" w:rsidP="008537C8">
      <w:pPr>
        <w:widowControl w:val="0"/>
        <w:suppressAutoHyphens/>
        <w:spacing w:line="360" w:lineRule="auto"/>
        <w:rPr>
          <w:sz w:val="28"/>
          <w:szCs w:val="28"/>
        </w:rPr>
      </w:pPr>
      <w:r w:rsidRPr="008537C8">
        <w:rPr>
          <w:sz w:val="28"/>
          <w:szCs w:val="28"/>
        </w:rPr>
        <w:t xml:space="preserve">3. Соколова Н.В. Риск-менеджмент: сущность, особенности становления в современной России // Альтернативы экономического роста в России: Матер. Междунар. семинара Сочи, 6-9 февраля </w:t>
      </w:r>
      <w:smartTag w:uri="urn:schemas-microsoft-com:office:smarttags" w:element="metricconverter">
        <w:smartTagPr>
          <w:attr w:name="ProductID" w:val="2003 г"/>
        </w:smartTagPr>
        <w:r w:rsidRPr="008537C8">
          <w:rPr>
            <w:sz w:val="28"/>
            <w:szCs w:val="28"/>
          </w:rPr>
          <w:t>2003 г</w:t>
        </w:r>
      </w:smartTag>
      <w:r w:rsidRPr="008537C8">
        <w:rPr>
          <w:sz w:val="28"/>
          <w:szCs w:val="28"/>
        </w:rPr>
        <w:t xml:space="preserve">.: В 2 кн. Кн. 1. – Краснодар: Кубан. гос. ун-т, 2003. – 237 с. – </w:t>
      </w:r>
      <w:r w:rsidRPr="008537C8">
        <w:rPr>
          <w:sz w:val="28"/>
          <w:szCs w:val="28"/>
          <w:lang w:val="en-US"/>
        </w:rPr>
        <w:t>ISBN</w:t>
      </w:r>
      <w:r w:rsidRPr="008537C8">
        <w:rPr>
          <w:sz w:val="28"/>
          <w:szCs w:val="28"/>
        </w:rPr>
        <w:t xml:space="preserve"> 5-8209-0262-9 с. 121-124. –0,2 п.л.</w:t>
      </w:r>
    </w:p>
    <w:p w:rsidR="00703FF5" w:rsidRPr="008537C8" w:rsidRDefault="00703FF5" w:rsidP="008537C8">
      <w:pPr>
        <w:widowControl w:val="0"/>
        <w:suppressAutoHyphens/>
        <w:spacing w:line="360" w:lineRule="auto"/>
        <w:rPr>
          <w:sz w:val="28"/>
          <w:szCs w:val="28"/>
        </w:rPr>
      </w:pPr>
      <w:r w:rsidRPr="008537C8">
        <w:rPr>
          <w:sz w:val="28"/>
          <w:szCs w:val="28"/>
        </w:rPr>
        <w:t>4. Соколова Н.В. Диверсификация как форма управления рисками // Экономика: теория и практика. – Краснодар, 2005. – № 9. – с. 46-48. –0,3 п.л.</w:t>
      </w:r>
    </w:p>
    <w:p w:rsidR="00C01B26" w:rsidRPr="008537C8" w:rsidRDefault="00703FF5" w:rsidP="008537C8">
      <w:pPr>
        <w:widowControl w:val="0"/>
        <w:suppressAutoHyphens/>
        <w:spacing w:line="360" w:lineRule="auto"/>
        <w:rPr>
          <w:sz w:val="28"/>
          <w:szCs w:val="28"/>
        </w:rPr>
      </w:pPr>
      <w:r w:rsidRPr="008537C8">
        <w:rPr>
          <w:sz w:val="28"/>
          <w:szCs w:val="28"/>
        </w:rPr>
        <w:t>5. Пенюгалова А.В., Соколова Н.В.</w:t>
      </w:r>
      <w:r w:rsidRPr="008537C8">
        <w:rPr>
          <w:sz w:val="28"/>
        </w:rPr>
        <w:t xml:space="preserve"> </w:t>
      </w:r>
      <w:r w:rsidRPr="008537C8">
        <w:rPr>
          <w:sz w:val="28"/>
          <w:szCs w:val="28"/>
        </w:rPr>
        <w:t>Оценка рисковой ситуации на предприятиях масложирового подкомплекса АПК Краснодарского края. // Региональная экономика. – 2007, № 9. – с. 173-177. –0,4 п.л.</w:t>
      </w:r>
      <w:bookmarkStart w:id="0" w:name="_GoBack"/>
      <w:bookmarkEnd w:id="0"/>
    </w:p>
    <w:sectPr w:rsidR="00C01B26" w:rsidRPr="008537C8" w:rsidSect="00291DF2">
      <w:pgSz w:w="11906" w:h="16838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DF2" w:rsidRDefault="00291DF2">
      <w:r>
        <w:separator/>
      </w:r>
    </w:p>
  </w:endnote>
  <w:endnote w:type="continuationSeparator" w:id="0">
    <w:p w:rsidR="00291DF2" w:rsidRDefault="00291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DF2" w:rsidRDefault="00291DF2">
      <w:r>
        <w:separator/>
      </w:r>
    </w:p>
  </w:footnote>
  <w:footnote w:type="continuationSeparator" w:id="0">
    <w:p w:rsidR="00291DF2" w:rsidRDefault="00291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B3630"/>
    <w:multiLevelType w:val="hybridMultilevel"/>
    <w:tmpl w:val="36A81EF0"/>
    <w:lvl w:ilvl="0" w:tplc="D6D2B96A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1">
    <w:nsid w:val="0F741967"/>
    <w:multiLevelType w:val="hybridMultilevel"/>
    <w:tmpl w:val="74601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13E193B"/>
    <w:multiLevelType w:val="hybridMultilevel"/>
    <w:tmpl w:val="29C6D398"/>
    <w:lvl w:ilvl="0" w:tplc="093827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0DA75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B94A3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9927F9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A86B0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E85C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0F2391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2CA3F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6D4E8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09190F"/>
    <w:multiLevelType w:val="hybridMultilevel"/>
    <w:tmpl w:val="26C0080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30E9065F"/>
    <w:multiLevelType w:val="hybridMultilevel"/>
    <w:tmpl w:val="4D8A313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5">
    <w:nsid w:val="377079DB"/>
    <w:multiLevelType w:val="hybridMultilevel"/>
    <w:tmpl w:val="337ED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1175CB"/>
    <w:multiLevelType w:val="hybridMultilevel"/>
    <w:tmpl w:val="9FC23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C710325"/>
    <w:multiLevelType w:val="hybridMultilevel"/>
    <w:tmpl w:val="B6267190"/>
    <w:lvl w:ilvl="0" w:tplc="D6D2B96A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8">
    <w:nsid w:val="79730418"/>
    <w:multiLevelType w:val="hybridMultilevel"/>
    <w:tmpl w:val="7AAECDA4"/>
    <w:lvl w:ilvl="0" w:tplc="0E2AA9D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9">
    <w:nsid w:val="7EB1216A"/>
    <w:multiLevelType w:val="hybridMultilevel"/>
    <w:tmpl w:val="4D82C1BA"/>
    <w:lvl w:ilvl="0" w:tplc="0E2AA9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525"/>
    <w:rsid w:val="00002E79"/>
    <w:rsid w:val="00090193"/>
    <w:rsid w:val="000C7B37"/>
    <w:rsid w:val="000F449D"/>
    <w:rsid w:val="00115D4C"/>
    <w:rsid w:val="001950F2"/>
    <w:rsid w:val="001A579A"/>
    <w:rsid w:val="001D3298"/>
    <w:rsid w:val="0026375A"/>
    <w:rsid w:val="00291DF2"/>
    <w:rsid w:val="002D48C5"/>
    <w:rsid w:val="00333C24"/>
    <w:rsid w:val="003420EB"/>
    <w:rsid w:val="00390861"/>
    <w:rsid w:val="004302B3"/>
    <w:rsid w:val="00441CA9"/>
    <w:rsid w:val="004740BA"/>
    <w:rsid w:val="004B27E5"/>
    <w:rsid w:val="004B3D7A"/>
    <w:rsid w:val="004B67B5"/>
    <w:rsid w:val="004E0556"/>
    <w:rsid w:val="004E298B"/>
    <w:rsid w:val="0053402F"/>
    <w:rsid w:val="00555AED"/>
    <w:rsid w:val="005E0548"/>
    <w:rsid w:val="006E57BB"/>
    <w:rsid w:val="006F25ED"/>
    <w:rsid w:val="00703FF5"/>
    <w:rsid w:val="00706676"/>
    <w:rsid w:val="00767F43"/>
    <w:rsid w:val="007709AD"/>
    <w:rsid w:val="00792042"/>
    <w:rsid w:val="007B49B6"/>
    <w:rsid w:val="007E2329"/>
    <w:rsid w:val="008537C8"/>
    <w:rsid w:val="00893525"/>
    <w:rsid w:val="0089490C"/>
    <w:rsid w:val="008955B6"/>
    <w:rsid w:val="008C0B98"/>
    <w:rsid w:val="00926047"/>
    <w:rsid w:val="00944505"/>
    <w:rsid w:val="009B08EB"/>
    <w:rsid w:val="009D5B69"/>
    <w:rsid w:val="009F0431"/>
    <w:rsid w:val="00A418D7"/>
    <w:rsid w:val="00A80283"/>
    <w:rsid w:val="00A8589B"/>
    <w:rsid w:val="00AC01D7"/>
    <w:rsid w:val="00B135FB"/>
    <w:rsid w:val="00B23766"/>
    <w:rsid w:val="00B273CF"/>
    <w:rsid w:val="00B40D84"/>
    <w:rsid w:val="00B63E55"/>
    <w:rsid w:val="00C01B26"/>
    <w:rsid w:val="00C809D9"/>
    <w:rsid w:val="00CB2E72"/>
    <w:rsid w:val="00CE0750"/>
    <w:rsid w:val="00D01F7F"/>
    <w:rsid w:val="00D12991"/>
    <w:rsid w:val="00D160BB"/>
    <w:rsid w:val="00D474FA"/>
    <w:rsid w:val="00D62C91"/>
    <w:rsid w:val="00D92C32"/>
    <w:rsid w:val="00E05E09"/>
    <w:rsid w:val="00E344BD"/>
    <w:rsid w:val="00E46826"/>
    <w:rsid w:val="00EA726E"/>
    <w:rsid w:val="00EB25B1"/>
    <w:rsid w:val="00EB3838"/>
    <w:rsid w:val="00F318A8"/>
    <w:rsid w:val="00F40B71"/>
    <w:rsid w:val="00F4245D"/>
    <w:rsid w:val="00F46AFC"/>
    <w:rsid w:val="00F50AA4"/>
    <w:rsid w:val="00F71F79"/>
    <w:rsid w:val="00F9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C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pPr>
      <w:spacing w:line="360" w:lineRule="auto"/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Title"/>
    <w:basedOn w:val="a"/>
    <w:link w:val="a6"/>
    <w:uiPriority w:val="10"/>
    <w:qFormat/>
    <w:pPr>
      <w:jc w:val="center"/>
    </w:pPr>
    <w:rPr>
      <w:b/>
      <w:bCs/>
    </w:rPr>
  </w:style>
  <w:style w:type="character" w:customStyle="1" w:styleId="a6">
    <w:name w:val="Название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7">
    <w:name w:val="Balloon Text"/>
    <w:basedOn w:val="a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pPr>
      <w:spacing w:line="360" w:lineRule="auto"/>
      <w:ind w:left="4500" w:hanging="45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cs="Times New Roman"/>
      <w:sz w:val="24"/>
      <w:szCs w:val="24"/>
    </w:rPr>
  </w:style>
  <w:style w:type="character" w:styleId="ab">
    <w:name w:val="page number"/>
    <w:basedOn w:val="a0"/>
    <w:uiPriority w:val="99"/>
    <w:rPr>
      <w:rFonts w:cs="Times New Roman"/>
    </w:rPr>
  </w:style>
  <w:style w:type="paragraph" w:styleId="ac">
    <w:name w:val="footnote text"/>
    <w:basedOn w:val="a"/>
    <w:link w:val="ad"/>
    <w:uiPriority w:val="99"/>
    <w:semiHidden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</w:rPr>
  </w:style>
  <w:style w:type="character" w:styleId="ae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af">
    <w:name w:val="header"/>
    <w:basedOn w:val="a"/>
    <w:link w:val="af0"/>
    <w:uiPriority w:val="9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table" w:styleId="af1">
    <w:name w:val="Table Grid"/>
    <w:basedOn w:val="a1"/>
    <w:uiPriority w:val="59"/>
    <w:rsid w:val="00AC0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rsid w:val="00EB383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f2">
    <w:name w:val="Normal (Web)"/>
    <w:basedOn w:val="a"/>
    <w:uiPriority w:val="99"/>
    <w:rsid w:val="00EB3838"/>
    <w:pPr>
      <w:spacing w:before="100" w:beforeAutospacing="1" w:after="100" w:afterAutospacing="1"/>
    </w:pPr>
  </w:style>
  <w:style w:type="character" w:styleId="af3">
    <w:name w:val="Hyperlink"/>
    <w:basedOn w:val="a0"/>
    <w:uiPriority w:val="99"/>
    <w:rsid w:val="00EB383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5560</Words>
  <Characters>31696</Characters>
  <Application>Microsoft Office Word</Application>
  <DocSecurity>0</DocSecurity>
  <Lines>264</Lines>
  <Paragraphs>74</Paragraphs>
  <ScaleCrop>false</ScaleCrop>
  <Company/>
  <LinksUpToDate>false</LinksUpToDate>
  <CharactersWithSpaces>37182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2014-06-02T06:28:00Z</dcterms:created>
  <dcterms:modified xsi:type="dcterms:W3CDTF">2014-06-02T06:28:00Z</dcterms:modified>
</cp:coreProperties>
</file>