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4DDE" w:rsidRDefault="00024DDE" w:rsidP="00230347">
      <w:pPr>
        <w:spacing w:before="100" w:beforeAutospacing="1" w:after="100" w:afterAutospacing="1" w:line="240" w:lineRule="auto"/>
        <w:ind w:left="284"/>
        <w:jc w:val="both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7B5DDE" w:rsidRPr="008A1858" w:rsidRDefault="007B5DDE" w:rsidP="00230347">
      <w:pPr>
        <w:spacing w:before="100" w:beforeAutospacing="1" w:after="100" w:afterAutospacing="1" w:line="240" w:lineRule="auto"/>
        <w:ind w:left="284"/>
        <w:jc w:val="both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  <w:r w:rsidRPr="008A1858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Задание №1</w:t>
      </w:r>
    </w:p>
    <w:p w:rsidR="007B5DDE" w:rsidRPr="008A1858" w:rsidRDefault="007B5DDE" w:rsidP="00230347">
      <w:pPr>
        <w:spacing w:before="100" w:beforeAutospacing="1" w:after="100" w:afterAutospacing="1" w:line="240" w:lineRule="auto"/>
        <w:ind w:left="284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      </w:t>
      </w:r>
      <w:r w:rsidRPr="008A1858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В широком смысле </w:t>
      </w:r>
      <w:hyperlink r:id="rId5" w:history="1">
        <w:r w:rsidRPr="008A1858">
          <w:rPr>
            <w:rFonts w:ascii="Times New Roman" w:hAnsi="Times New Roman"/>
            <w:bCs/>
            <w:color w:val="000000"/>
            <w:sz w:val="28"/>
            <w:szCs w:val="28"/>
            <w:lang w:eastAsia="ru-RU"/>
          </w:rPr>
          <w:t>финансовый</w:t>
        </w:r>
      </w:hyperlink>
      <w:r w:rsidRPr="008A1858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 механизм</w:t>
      </w:r>
      <w:r w:rsidRPr="008A185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представляет собой совокупность способов организации финансовых отношений применяемых обществом в целях обеспечения благоприятных условий для </w:t>
      </w:r>
      <w:hyperlink r:id="rId6" w:history="1">
        <w:r w:rsidRPr="008A1858">
          <w:rPr>
            <w:rFonts w:ascii="Times New Roman" w:hAnsi="Times New Roman"/>
            <w:color w:val="000000"/>
            <w:sz w:val="28"/>
            <w:szCs w:val="28"/>
            <w:lang w:eastAsia="ru-RU"/>
          </w:rPr>
          <w:t>экономического</w:t>
        </w:r>
      </w:hyperlink>
      <w:r w:rsidRPr="008A185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развития. Финансовый механизм включает виды, формы и методы организации финансовых отношений, способы их количественного определения.</w:t>
      </w:r>
    </w:p>
    <w:p w:rsidR="007B5DDE" w:rsidRPr="008A1858" w:rsidRDefault="007B5DDE" w:rsidP="00230347">
      <w:pPr>
        <w:spacing w:before="100" w:beforeAutospacing="1" w:after="100" w:afterAutospacing="1" w:line="240" w:lineRule="auto"/>
        <w:ind w:left="284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A1858">
        <w:rPr>
          <w:rFonts w:ascii="Times New Roman" w:hAnsi="Times New Roman"/>
          <w:color w:val="000000"/>
          <w:sz w:val="28"/>
          <w:szCs w:val="28"/>
          <w:lang w:eastAsia="ru-RU"/>
        </w:rPr>
        <w:t>    Структура финансового механизма довольна сложна. В нее входят различные элементы, соответствующие разнообразию финансовых отношений. Именно множественность финансовых взаимосвязей предопределяет применение большого количества элементов финансового механизма.</w:t>
      </w:r>
    </w:p>
    <w:p w:rsidR="007B5DDE" w:rsidRPr="008A1858" w:rsidRDefault="007B5DDE" w:rsidP="00230347">
      <w:pPr>
        <w:spacing w:before="100" w:beforeAutospacing="1" w:after="100" w:afterAutospacing="1" w:line="240" w:lineRule="auto"/>
        <w:ind w:left="284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bookmarkStart w:id="0" w:name="cut"/>
      <w:bookmarkEnd w:id="0"/>
      <w:r w:rsidRPr="008A1858">
        <w:rPr>
          <w:rFonts w:ascii="Times New Roman" w:hAnsi="Times New Roman"/>
          <w:color w:val="000000"/>
          <w:sz w:val="28"/>
          <w:szCs w:val="28"/>
          <w:lang w:eastAsia="ru-RU"/>
        </w:rPr>
        <w:t>    Для эффективного использования финансов большое значение имеет осуществление финансового планирования и прогнозирования. Нормативное оформление применяемых способов организации финансовых отношений (налогов, расходов и пр.), контроль за правильностью применения различных видов, форм и методов финансовых отношений. </w:t>
      </w:r>
    </w:p>
    <w:p w:rsidR="007B5DDE" w:rsidRPr="008A1858" w:rsidRDefault="007B5DDE" w:rsidP="00230347">
      <w:pPr>
        <w:spacing w:before="100" w:beforeAutospacing="1" w:after="100" w:afterAutospacing="1" w:line="240" w:lineRule="auto"/>
        <w:ind w:left="284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A185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    Таким образом, </w:t>
      </w:r>
      <w:r w:rsidRPr="008A1858">
        <w:rPr>
          <w:rFonts w:ascii="Times New Roman" w:hAnsi="Times New Roman"/>
          <w:bCs/>
          <w:color w:val="000000"/>
          <w:sz w:val="28"/>
          <w:szCs w:val="28"/>
          <w:lang w:eastAsia="ru-RU"/>
        </w:rPr>
        <w:t>основными звеньями (элементами) финансового механизма</w:t>
      </w:r>
      <w:r w:rsidRPr="008A185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является:</w:t>
      </w:r>
    </w:p>
    <w:p w:rsidR="007B5DDE" w:rsidRPr="008A1858" w:rsidRDefault="007B5DDE" w:rsidP="00230347">
      <w:pPr>
        <w:numPr>
          <w:ilvl w:val="0"/>
          <w:numId w:val="1"/>
        </w:numPr>
        <w:tabs>
          <w:tab w:val="clear" w:pos="720"/>
          <w:tab w:val="num" w:pos="567"/>
        </w:tabs>
        <w:spacing w:before="100" w:beforeAutospacing="1" w:after="100" w:afterAutospacing="1" w:line="240" w:lineRule="auto"/>
        <w:ind w:left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A1858">
        <w:rPr>
          <w:rFonts w:ascii="Times New Roman" w:hAnsi="Times New Roman"/>
          <w:color w:val="000000"/>
          <w:sz w:val="28"/>
          <w:szCs w:val="28"/>
          <w:lang w:eastAsia="ru-RU"/>
        </w:rPr>
        <w:t>финансовое планирование и прогнозирование;</w:t>
      </w:r>
    </w:p>
    <w:p w:rsidR="007B5DDE" w:rsidRPr="008A1858" w:rsidRDefault="007B5DDE" w:rsidP="00230347">
      <w:pPr>
        <w:numPr>
          <w:ilvl w:val="0"/>
          <w:numId w:val="1"/>
        </w:numPr>
        <w:tabs>
          <w:tab w:val="clear" w:pos="720"/>
          <w:tab w:val="num" w:pos="567"/>
        </w:tabs>
        <w:spacing w:before="100" w:beforeAutospacing="1" w:after="100" w:afterAutospacing="1" w:line="240" w:lineRule="auto"/>
        <w:ind w:left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A1858">
        <w:rPr>
          <w:rFonts w:ascii="Times New Roman" w:hAnsi="Times New Roman"/>
          <w:color w:val="000000"/>
          <w:sz w:val="28"/>
          <w:szCs w:val="28"/>
          <w:lang w:eastAsia="ru-RU"/>
        </w:rPr>
        <w:t>финансовые показатели, нормативы и лимиты;</w:t>
      </w:r>
    </w:p>
    <w:p w:rsidR="007B5DDE" w:rsidRPr="008A1858" w:rsidRDefault="007B5DDE" w:rsidP="00230347">
      <w:pPr>
        <w:numPr>
          <w:ilvl w:val="0"/>
          <w:numId w:val="1"/>
        </w:numPr>
        <w:tabs>
          <w:tab w:val="clear" w:pos="720"/>
          <w:tab w:val="num" w:pos="567"/>
        </w:tabs>
        <w:spacing w:before="100" w:beforeAutospacing="1" w:after="100" w:afterAutospacing="1" w:line="240" w:lineRule="auto"/>
        <w:ind w:left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A1858">
        <w:rPr>
          <w:rFonts w:ascii="Times New Roman" w:hAnsi="Times New Roman"/>
          <w:color w:val="000000"/>
          <w:sz w:val="28"/>
          <w:szCs w:val="28"/>
          <w:lang w:eastAsia="ru-RU"/>
        </w:rPr>
        <w:t>управление финансами;</w:t>
      </w:r>
    </w:p>
    <w:p w:rsidR="007B5DDE" w:rsidRPr="008A1858" w:rsidRDefault="007B5DDE" w:rsidP="00230347">
      <w:pPr>
        <w:numPr>
          <w:ilvl w:val="0"/>
          <w:numId w:val="1"/>
        </w:numPr>
        <w:tabs>
          <w:tab w:val="clear" w:pos="720"/>
          <w:tab w:val="num" w:pos="567"/>
        </w:tabs>
        <w:spacing w:before="100" w:beforeAutospacing="1" w:after="100" w:afterAutospacing="1" w:line="240" w:lineRule="auto"/>
        <w:ind w:left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A1858">
        <w:rPr>
          <w:rFonts w:ascii="Times New Roman" w:hAnsi="Times New Roman"/>
          <w:color w:val="000000"/>
          <w:sz w:val="28"/>
          <w:szCs w:val="28"/>
          <w:lang w:eastAsia="ru-RU"/>
        </w:rPr>
        <w:t>финансовые рычаги и стимулы;</w:t>
      </w:r>
    </w:p>
    <w:p w:rsidR="007B5DDE" w:rsidRPr="008A1858" w:rsidRDefault="007B5DDE" w:rsidP="00230347">
      <w:pPr>
        <w:numPr>
          <w:ilvl w:val="0"/>
          <w:numId w:val="1"/>
        </w:numPr>
        <w:tabs>
          <w:tab w:val="clear" w:pos="720"/>
          <w:tab w:val="num" w:pos="567"/>
        </w:tabs>
        <w:spacing w:before="100" w:beforeAutospacing="1" w:after="100" w:afterAutospacing="1" w:line="240" w:lineRule="auto"/>
        <w:ind w:left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A1858">
        <w:rPr>
          <w:rFonts w:ascii="Times New Roman" w:hAnsi="Times New Roman"/>
          <w:color w:val="000000"/>
          <w:sz w:val="28"/>
          <w:szCs w:val="28"/>
          <w:lang w:eastAsia="ru-RU"/>
        </w:rPr>
        <w:t>финансовый контроль;</w:t>
      </w:r>
    </w:p>
    <w:p w:rsidR="007B5DDE" w:rsidRPr="008A1858" w:rsidRDefault="007B5DDE" w:rsidP="00230347">
      <w:pPr>
        <w:spacing w:before="100" w:beforeAutospacing="1" w:after="100" w:afterAutospacing="1" w:line="240" w:lineRule="auto"/>
        <w:ind w:left="284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A1858">
        <w:rPr>
          <w:rFonts w:ascii="Times New Roman" w:hAnsi="Times New Roman"/>
          <w:color w:val="000000"/>
          <w:sz w:val="28"/>
          <w:szCs w:val="28"/>
          <w:lang w:eastAsia="ru-RU"/>
        </w:rPr>
        <w:t>    В зависимости от особенностей отдельных подразделений общественного хозяйства и на основе выделения сфер и звеньев финансовых отношений финансовый механизм подразделяется на финансовый механизм предприятий и хозяйственных организаций, страховой механизм, механизм функционирования государственных финансов и т.п. В свою очередь, каждая из этих сфер включает отдельные структурные звенья. </w:t>
      </w:r>
    </w:p>
    <w:p w:rsidR="007B5DDE" w:rsidRPr="008A1858" w:rsidRDefault="007B5DDE" w:rsidP="00230347">
      <w:pPr>
        <w:spacing w:before="100" w:beforeAutospacing="1" w:after="100" w:afterAutospacing="1" w:line="240" w:lineRule="auto"/>
        <w:ind w:left="284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A1858">
        <w:rPr>
          <w:rFonts w:ascii="Times New Roman" w:hAnsi="Times New Roman"/>
          <w:color w:val="000000"/>
          <w:sz w:val="28"/>
          <w:szCs w:val="28"/>
          <w:lang w:eastAsia="ru-RU"/>
        </w:rPr>
        <w:t>    Каждая сфера и отдельное звено финансового механизма являются составной частью единого целого. Они взаимосвязаны и взаимозависимы. Вместе с тем сферы и звенья функционируют относительно самостоятельно, что вызывает необходимость постоянного согласования составляющих финансового механизма. Внутренняя увязка составных звеньев финансового механизма является важным условием его действенности.</w:t>
      </w:r>
    </w:p>
    <w:p w:rsidR="007B5DDE" w:rsidRPr="008A1858" w:rsidRDefault="007B5DDE" w:rsidP="00230347">
      <w:pPr>
        <w:spacing w:before="100" w:beforeAutospacing="1" w:after="100" w:afterAutospacing="1" w:line="240" w:lineRule="auto"/>
        <w:ind w:left="284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A185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    Таким образом можно сделать вывод, что </w:t>
      </w:r>
      <w:r w:rsidRPr="008A1858">
        <w:rPr>
          <w:rFonts w:ascii="Times New Roman" w:hAnsi="Times New Roman"/>
          <w:bCs/>
          <w:color w:val="000000"/>
          <w:sz w:val="28"/>
          <w:szCs w:val="28"/>
          <w:lang w:eastAsia="ru-RU"/>
        </w:rPr>
        <w:t>финансовый механизм</w:t>
      </w:r>
      <w:r w:rsidRPr="008A185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– совокупность форм и методов, инструментов и рычагов формирования и использования фондов финансовых ресурсов с целью обеспечения разнообразных потребностей государства, хозяйствующих субъектов и населения.</w:t>
      </w:r>
    </w:p>
    <w:p w:rsidR="007B5DDE" w:rsidRPr="008A1858" w:rsidRDefault="007B5DDE" w:rsidP="00230347">
      <w:pPr>
        <w:spacing w:before="100" w:beforeAutospacing="1" w:after="100" w:afterAutospacing="1" w:line="240" w:lineRule="auto"/>
        <w:ind w:left="284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A1858">
        <w:rPr>
          <w:rFonts w:ascii="Times New Roman" w:hAnsi="Times New Roman"/>
          <w:color w:val="000000"/>
          <w:sz w:val="28"/>
          <w:szCs w:val="28"/>
          <w:lang w:eastAsia="ru-RU"/>
        </w:rPr>
        <w:t>    Постепенно с развитием новых форм финансовых отношений усложняется финансовый механизм.</w:t>
      </w:r>
    </w:p>
    <w:p w:rsidR="007B5DDE" w:rsidRDefault="007B5DDE" w:rsidP="00230347">
      <w:pPr>
        <w:spacing w:before="100" w:beforeAutospacing="1" w:after="100" w:afterAutospacing="1" w:line="240" w:lineRule="auto"/>
        <w:ind w:left="284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A185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    </w:t>
      </w:r>
      <w:r w:rsidRPr="008A1858">
        <w:rPr>
          <w:rFonts w:ascii="Times New Roman" w:hAnsi="Times New Roman"/>
          <w:bCs/>
          <w:color w:val="000000"/>
          <w:sz w:val="28"/>
          <w:szCs w:val="28"/>
          <w:lang w:eastAsia="ru-RU"/>
        </w:rPr>
        <w:t>В более узком смысле финансовый механизм</w:t>
      </w:r>
      <w:r w:rsidRPr="008A185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можно определить как  действия финансовых рычагов, выражающихся в организации, планировании и стимулировании использования финансовых ресурсов.</w:t>
      </w:r>
    </w:p>
    <w:p w:rsidR="007B5DDE" w:rsidRDefault="007B5DDE" w:rsidP="00230347">
      <w:pPr>
        <w:spacing w:before="100" w:beforeAutospacing="1" w:after="100" w:afterAutospacing="1" w:line="240" w:lineRule="auto"/>
        <w:ind w:left="284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7B5DDE" w:rsidRDefault="007B5DDE" w:rsidP="00230347">
      <w:pPr>
        <w:spacing w:before="100" w:beforeAutospacing="1" w:after="100" w:afterAutospacing="1" w:line="240" w:lineRule="auto"/>
        <w:ind w:left="284"/>
        <w:jc w:val="both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1B517B">
        <w:rPr>
          <w:rFonts w:ascii="Times New Roman" w:hAnsi="Times New Roman"/>
          <w:b/>
          <w:color w:val="000000"/>
          <w:sz w:val="28"/>
          <w:szCs w:val="28"/>
          <w:lang w:eastAsia="ru-RU"/>
        </w:rPr>
        <w:t>Задание №2</w:t>
      </w:r>
    </w:p>
    <w:p w:rsidR="007B5DDE" w:rsidRPr="00230347" w:rsidRDefault="007B5DDE" w:rsidP="00230347">
      <w:pPr>
        <w:spacing w:before="100" w:beforeAutospacing="1" w:after="100" w:afterAutospacing="1" w:line="240" w:lineRule="auto"/>
        <w:ind w:left="284"/>
        <w:jc w:val="both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230347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Вопрос 1: </w:t>
      </w:r>
      <w:r w:rsidRPr="00230347">
        <w:rPr>
          <w:rFonts w:ascii="Times New Roman" w:hAnsi="Times New Roman"/>
          <w:b/>
          <w:sz w:val="28"/>
          <w:szCs w:val="28"/>
        </w:rPr>
        <w:t>Контроль со стороны Счетной палаты – это разновидность аудиторного контроля.</w:t>
      </w:r>
    </w:p>
    <w:p w:rsidR="007B5DDE" w:rsidRPr="001B517B" w:rsidRDefault="007B5DDE" w:rsidP="00230347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B517B">
        <w:rPr>
          <w:rFonts w:ascii="Times New Roman" w:hAnsi="Times New Roman"/>
          <w:color w:val="000000"/>
          <w:sz w:val="28"/>
          <w:szCs w:val="28"/>
          <w:lang w:eastAsia="ru-RU"/>
        </w:rPr>
        <w:t>Объектом контроля со стороны Счетной палаты РФ выступают средства федерального бюджета, федеральных внебюджетных фондов и федеральная собственность.</w:t>
      </w:r>
    </w:p>
    <w:p w:rsidR="007B5DDE" w:rsidRPr="001B517B" w:rsidRDefault="007B5DDE" w:rsidP="00230347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B517B">
        <w:rPr>
          <w:rFonts w:ascii="Times New Roman" w:hAnsi="Times New Roman"/>
          <w:color w:val="000000"/>
          <w:sz w:val="28"/>
          <w:szCs w:val="28"/>
          <w:lang w:eastAsia="ru-RU"/>
        </w:rPr>
        <w:t>К субъектам, на которых распространяются контрольные полномочия Счетной палаты, относятся:</w:t>
      </w:r>
    </w:p>
    <w:p w:rsidR="007B5DDE" w:rsidRPr="001B517B" w:rsidRDefault="007B5DDE" w:rsidP="00230347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B517B">
        <w:rPr>
          <w:rFonts w:ascii="Times New Roman" w:hAnsi="Times New Roman"/>
          <w:color w:val="000000"/>
          <w:sz w:val="28"/>
          <w:szCs w:val="28"/>
          <w:lang w:eastAsia="ru-RU"/>
        </w:rPr>
        <w:t>1) все государственные органы (в том числе их аппараты) и учреждения, федеральные внебюджетные фонды;</w:t>
      </w:r>
    </w:p>
    <w:p w:rsidR="007B5DDE" w:rsidRPr="001B517B" w:rsidRDefault="007B5DDE" w:rsidP="00230347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B517B">
        <w:rPr>
          <w:rFonts w:ascii="Times New Roman" w:hAnsi="Times New Roman"/>
          <w:color w:val="000000"/>
          <w:sz w:val="28"/>
          <w:szCs w:val="28"/>
          <w:lang w:eastAsia="ru-RU"/>
        </w:rPr>
        <w:t xml:space="preserve">2) органы местного самоуправления, предприятия, организации, банки, </w:t>
      </w:r>
      <w:hyperlink r:id="rId7" w:tgtFrame="_blank" w:history="1">
        <w:r w:rsidRPr="001B517B">
          <w:rPr>
            <w:rFonts w:ascii="Times New Roman" w:hAnsi="Times New Roman"/>
            <w:color w:val="0000FF"/>
            <w:sz w:val="28"/>
            <w:szCs w:val="28"/>
            <w:lang w:eastAsia="ru-RU"/>
          </w:rPr>
          <w:t>страховые компании</w:t>
        </w:r>
      </w:hyperlink>
      <w:r w:rsidRPr="001B517B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и другие финансово-кредитные учреждения, их союзы, ассоциации и иные объединения вне зависимости от видов и форм собственности, если они получают, перечисляют, используют средства из федерального бюджета или используют федеральную собственность либо управляют ею, а также имеют предоставленные федеральным законодательством или федеральными органами государственной власти налоговые, таможенные и иные льготы и преимущества;</w:t>
      </w:r>
    </w:p>
    <w:p w:rsidR="007B5DDE" w:rsidRPr="001B517B" w:rsidRDefault="007B5DDE" w:rsidP="00230347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B517B">
        <w:rPr>
          <w:rFonts w:ascii="Times New Roman" w:hAnsi="Times New Roman"/>
          <w:color w:val="000000"/>
          <w:sz w:val="28"/>
          <w:szCs w:val="28"/>
          <w:lang w:eastAsia="ru-RU"/>
        </w:rPr>
        <w:t>3) общественные объединения, негосударственные фонды и иные негосударственные некоммерческие организации, на деятельностью которых контрольные полномочия Счетной палаты распространяются в части, связанной с получением, перечислением или использованием ими средств федерального бюджета, использованием федеральной собственности и управлением ею, а также в части предоставленных федеральным законодательством или федеральными органами государственной власти налоговых, таможенных и иных льгот и преимуществ.</w:t>
      </w:r>
    </w:p>
    <w:p w:rsidR="007B5DDE" w:rsidRPr="001B517B" w:rsidRDefault="007B5DDE" w:rsidP="00230347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B517B">
        <w:rPr>
          <w:rFonts w:ascii="Times New Roman" w:hAnsi="Times New Roman"/>
          <w:color w:val="000000"/>
          <w:sz w:val="28"/>
          <w:szCs w:val="28"/>
          <w:lang w:eastAsia="ru-RU"/>
        </w:rPr>
        <w:t>Таким образом, область действия контрольных полномочий Счетной палаты в отношении указанных субъектов связана с федеральным бюджетом, федеральными внебюджетными фондами и федеральной собственностью.</w:t>
      </w:r>
    </w:p>
    <w:p w:rsidR="007B5DDE" w:rsidRPr="001B517B" w:rsidRDefault="007B5DDE" w:rsidP="00230347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B517B">
        <w:rPr>
          <w:rFonts w:ascii="Times New Roman" w:hAnsi="Times New Roman"/>
          <w:color w:val="000000"/>
          <w:sz w:val="28"/>
          <w:szCs w:val="28"/>
          <w:lang w:eastAsia="ru-RU"/>
        </w:rPr>
        <w:t>В рамках задач, определенных законодательством, Счетная палата обладает организационной и функциональной независимостью. Деятельность Счетной палаты направлена на проведение ряда мер в отношении намечаемых, осуществляемых и уже произведенных государственных расходов. К основным задачам Счетной палаты РФ относятся:</w:t>
      </w:r>
    </w:p>
    <w:p w:rsidR="007B5DDE" w:rsidRPr="001B517B" w:rsidRDefault="007B5DDE" w:rsidP="00230347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B517B">
        <w:rPr>
          <w:rFonts w:ascii="Times New Roman" w:hAnsi="Times New Roman"/>
          <w:color w:val="000000"/>
          <w:sz w:val="28"/>
          <w:szCs w:val="28"/>
          <w:lang w:eastAsia="ru-RU"/>
        </w:rPr>
        <w:t>— организация и осуществление контроля за своевременным исполнением доходных и расходных статей федерального бюджета и бюджетов федеральных внебюджетных фондов по объемам, структуре и целевому назначению; определение эффективности и целесообразности расходов государственных средств и использования федеральной собственности;</w:t>
      </w:r>
    </w:p>
    <w:p w:rsidR="007B5DDE" w:rsidRPr="001B517B" w:rsidRDefault="007B5DDE" w:rsidP="00230347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B517B">
        <w:rPr>
          <w:rFonts w:ascii="Times New Roman" w:hAnsi="Times New Roman"/>
          <w:color w:val="000000"/>
          <w:sz w:val="28"/>
          <w:szCs w:val="28"/>
          <w:lang w:eastAsia="ru-RU"/>
        </w:rPr>
        <w:t>— оценка обоснованности доходных и расходных статей проектов федерального бюджета и бюджетов федеральных внебюджетных фондов;</w:t>
      </w:r>
    </w:p>
    <w:p w:rsidR="007B5DDE" w:rsidRPr="001B517B" w:rsidRDefault="007B5DDE" w:rsidP="00230347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B517B">
        <w:rPr>
          <w:rFonts w:ascii="Times New Roman" w:hAnsi="Times New Roman"/>
          <w:color w:val="000000"/>
          <w:sz w:val="28"/>
          <w:szCs w:val="28"/>
          <w:lang w:eastAsia="ru-RU"/>
        </w:rPr>
        <w:t>— финансовая экспертиза проектов федеральных законов, а также иных нормативно-правовых актов органов государственной власти, предусматривающих расходы, покрываемые за счет средств федерального бюджета, или влияющих на формирование федерального бюджета и бюджетов федеральных внебюджетных фондов;</w:t>
      </w:r>
    </w:p>
    <w:p w:rsidR="007B5DDE" w:rsidRPr="001B517B" w:rsidRDefault="007B5DDE" w:rsidP="00230347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B517B">
        <w:rPr>
          <w:rFonts w:ascii="Times New Roman" w:hAnsi="Times New Roman"/>
          <w:color w:val="000000"/>
          <w:sz w:val="28"/>
          <w:szCs w:val="28"/>
          <w:lang w:eastAsia="ru-RU"/>
        </w:rPr>
        <w:t>— анализ выявленных отклонений от установленных показателей федерального бюджета и бюджетов федеральных внебюджетных фондов и подготовка предложений, направленных на их устранение, а также на совершенствование бюджетного процесса в целом;</w:t>
      </w:r>
    </w:p>
    <w:p w:rsidR="007B5DDE" w:rsidRPr="001B517B" w:rsidRDefault="007B5DDE" w:rsidP="00230347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B517B">
        <w:rPr>
          <w:rFonts w:ascii="Times New Roman" w:hAnsi="Times New Roman"/>
          <w:color w:val="000000"/>
          <w:sz w:val="28"/>
          <w:szCs w:val="28"/>
          <w:lang w:eastAsia="ru-RU"/>
        </w:rPr>
        <w:t>— контроль за законностью и своевременностью движения средств федерального бюджета и средств федеральных внебюджетных фондов в Центральном банке РФ, уполномоченных банках и иных финансово-кредитных учреждениях Российской Федерации;</w:t>
      </w:r>
    </w:p>
    <w:p w:rsidR="007B5DDE" w:rsidRPr="001B517B" w:rsidRDefault="007B5DDE" w:rsidP="00230347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B517B">
        <w:rPr>
          <w:rFonts w:ascii="Times New Roman" w:hAnsi="Times New Roman"/>
          <w:color w:val="000000"/>
          <w:sz w:val="28"/>
          <w:szCs w:val="28"/>
          <w:lang w:eastAsia="ru-RU"/>
        </w:rPr>
        <w:t>— регулярное представление Совету Федерации и Государственной Думе информации о ходе исполнения федерального бюджета и результатах проводимых контрольных мероприятий;</w:t>
      </w:r>
    </w:p>
    <w:p w:rsidR="007B5DDE" w:rsidRPr="001B517B" w:rsidRDefault="007B5DDE" w:rsidP="00230347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B517B">
        <w:rPr>
          <w:rFonts w:ascii="Times New Roman" w:hAnsi="Times New Roman"/>
          <w:color w:val="000000"/>
          <w:sz w:val="28"/>
          <w:szCs w:val="28"/>
          <w:lang w:eastAsia="ru-RU"/>
        </w:rPr>
        <w:t>— контроль за поступлением в федеральный бюджет денежных средств от приватизации государственной собственности, продажи и управления ею.</w:t>
      </w:r>
    </w:p>
    <w:p w:rsidR="007B5DDE" w:rsidRPr="001B517B" w:rsidRDefault="007B5DDE" w:rsidP="00230347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B517B">
        <w:rPr>
          <w:rFonts w:ascii="Times New Roman" w:hAnsi="Times New Roman"/>
          <w:color w:val="000000"/>
          <w:sz w:val="28"/>
          <w:szCs w:val="28"/>
          <w:lang w:eastAsia="ru-RU"/>
        </w:rPr>
        <w:t>Особо выделены полномочия Счетной палаты по контролю за состоянием государственного внутреннего и внешнего долга Российской Федерации и за использованием кредитных ресурсов, а именно за:</w:t>
      </w:r>
    </w:p>
    <w:p w:rsidR="007B5DDE" w:rsidRPr="001B517B" w:rsidRDefault="007B5DDE" w:rsidP="00230347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B517B">
        <w:rPr>
          <w:rFonts w:ascii="Times New Roman" w:hAnsi="Times New Roman"/>
          <w:color w:val="000000"/>
          <w:sz w:val="28"/>
          <w:szCs w:val="28"/>
          <w:lang w:eastAsia="ru-RU"/>
        </w:rPr>
        <w:t>— управлением и обслуживанием государственного долга;</w:t>
      </w:r>
    </w:p>
    <w:p w:rsidR="007B5DDE" w:rsidRPr="001B517B" w:rsidRDefault="007B5DDE" w:rsidP="00230347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B517B">
        <w:rPr>
          <w:rFonts w:ascii="Times New Roman" w:hAnsi="Times New Roman"/>
          <w:color w:val="000000"/>
          <w:sz w:val="28"/>
          <w:szCs w:val="28"/>
          <w:lang w:eastAsia="ru-RU"/>
        </w:rPr>
        <w:t>— законностью, рациональностью и эффективностью использования иностранных кредитов и займов, получаемых Правительством РФ от иностранных государств и финансовых организаций;</w:t>
      </w:r>
    </w:p>
    <w:p w:rsidR="007B5DDE" w:rsidRPr="001B517B" w:rsidRDefault="007B5DDE" w:rsidP="00230347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B517B">
        <w:rPr>
          <w:rFonts w:ascii="Times New Roman" w:hAnsi="Times New Roman"/>
          <w:color w:val="000000"/>
          <w:sz w:val="28"/>
          <w:szCs w:val="28"/>
          <w:lang w:eastAsia="ru-RU"/>
        </w:rPr>
        <w:t>— эффективностью размещения централизованных финансовых ресурсов, выдаваемых на возвратной основе;</w:t>
      </w:r>
    </w:p>
    <w:p w:rsidR="007B5DDE" w:rsidRPr="001B517B" w:rsidRDefault="007B5DDE" w:rsidP="00230347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B517B">
        <w:rPr>
          <w:rFonts w:ascii="Times New Roman" w:hAnsi="Times New Roman"/>
          <w:color w:val="000000"/>
          <w:sz w:val="28"/>
          <w:szCs w:val="28"/>
          <w:lang w:eastAsia="ru-RU"/>
        </w:rPr>
        <w:t>— представлением государственных кредитов, а также представлением средств на безвозмездной основе иностранным государствам и международным организациям.</w:t>
      </w:r>
    </w:p>
    <w:p w:rsidR="007B5DDE" w:rsidRPr="001B517B" w:rsidRDefault="007B5DDE" w:rsidP="00230347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B517B">
        <w:rPr>
          <w:rFonts w:ascii="Times New Roman" w:hAnsi="Times New Roman"/>
          <w:color w:val="000000"/>
          <w:sz w:val="28"/>
          <w:szCs w:val="28"/>
          <w:lang w:eastAsia="ru-RU"/>
        </w:rPr>
        <w:t>В рамках банковской системы Счетная палата осуществляет контроль за деятельностью Центрального банка РФ, его структурных подразделений, других банков и кредитно-финансовых учреждений в части обслуживания ими федерального бюджета, а также за деятельностью Центрального банка РФ по обслуживанию государственного долга Российской Федерации.</w:t>
      </w:r>
    </w:p>
    <w:p w:rsidR="007B5DDE" w:rsidRPr="001B517B" w:rsidRDefault="007B5DDE" w:rsidP="00230347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B517B">
        <w:rPr>
          <w:rFonts w:ascii="Times New Roman" w:hAnsi="Times New Roman"/>
          <w:color w:val="000000"/>
          <w:sz w:val="28"/>
          <w:szCs w:val="28"/>
          <w:lang w:eastAsia="ru-RU"/>
        </w:rPr>
        <w:t>Все органы государственной власти в Российской Федерации, органы местного самоуправления, Центральный банк РФ, предприятия, учреждения, организации (независимо от форм собственности) и их должностные лица обязаны представлять по запросам Счетной палаты РФ информацию, необходимую для обеспечения ее деятельности.</w:t>
      </w:r>
    </w:p>
    <w:p w:rsidR="007B5DDE" w:rsidRPr="001B517B" w:rsidRDefault="007B5DDE" w:rsidP="00230347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B517B">
        <w:rPr>
          <w:rFonts w:ascii="Times New Roman" w:hAnsi="Times New Roman"/>
          <w:color w:val="000000"/>
          <w:sz w:val="28"/>
          <w:szCs w:val="28"/>
          <w:lang w:eastAsia="ru-RU"/>
        </w:rPr>
        <w:t>Счетная палата, осуществляя контрольную деятельность, вправе проводить ревизии и тематические проверки, которые являются основной формой ее контроля.</w:t>
      </w:r>
    </w:p>
    <w:p w:rsidR="007B5DDE" w:rsidRPr="001B517B" w:rsidRDefault="007B5DDE" w:rsidP="00230347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B517B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Инспектора Счетной палаты при проведении ревизий и проверок наделены необходимыми правами: беспрепятственно посещать государственные органы, предприятия, учреждения, организации, банки; опечатывать кассы, кассовые и служебные помещения, склады, архивы, а при обнаружении подделок, подлогов, </w:t>
      </w:r>
      <w:hyperlink r:id="rId8" w:tgtFrame="_blank" w:history="1">
        <w:r w:rsidRPr="001B517B">
          <w:rPr>
            <w:rFonts w:ascii="Times New Roman" w:hAnsi="Times New Roman"/>
            <w:color w:val="0000FF"/>
            <w:sz w:val="28"/>
            <w:szCs w:val="28"/>
            <w:lang w:eastAsia="ru-RU"/>
          </w:rPr>
          <w:t>хищений</w:t>
        </w:r>
      </w:hyperlink>
      <w:r w:rsidRPr="001B517B">
        <w:rPr>
          <w:rFonts w:ascii="Times New Roman" w:hAnsi="Times New Roman"/>
          <w:color w:val="000000"/>
          <w:sz w:val="28"/>
          <w:szCs w:val="28"/>
          <w:lang w:eastAsia="ru-RU"/>
        </w:rPr>
        <w:t>, злоупотреблений - изымать необходимые документы, оставляя в делах акт изъятия или опись изъятых документов.</w:t>
      </w:r>
    </w:p>
    <w:p w:rsidR="007B5DDE" w:rsidRPr="001B517B" w:rsidRDefault="007B5DDE" w:rsidP="00230347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B517B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О результатах ревизий и тематических проверок Счетная палата информирует Совет Федерации и Государственную Думу РФ. При выявлении нарушения законов, влекущего за собой уголовную ответственность. Счетная палата РФ передает соответствующие материалы в </w:t>
      </w:r>
      <w:hyperlink r:id="rId9" w:tgtFrame="_blank" w:history="1">
        <w:r w:rsidRPr="001B517B">
          <w:rPr>
            <w:rFonts w:ascii="Times New Roman" w:hAnsi="Times New Roman"/>
            <w:color w:val="0000FF"/>
            <w:sz w:val="28"/>
            <w:szCs w:val="28"/>
            <w:lang w:eastAsia="ru-RU"/>
          </w:rPr>
          <w:t>правоохранительные органы</w:t>
        </w:r>
      </w:hyperlink>
      <w:r w:rsidRPr="001B517B">
        <w:rPr>
          <w:rFonts w:ascii="Times New Roman" w:hAnsi="Times New Roman"/>
          <w:color w:val="000000"/>
          <w:sz w:val="28"/>
          <w:szCs w:val="28"/>
          <w:lang w:eastAsia="ru-RU"/>
        </w:rPr>
        <w:t>. При проведении ревизии и проверок должностные лица Счетной палаты не вправе вмешиваться в оперативную деятельность проверяемой организации, а также предавать гласности свои выводы до завершения ревизии (проверки) и оформления ее результатов в виде акта — заключения.</w:t>
      </w:r>
    </w:p>
    <w:p w:rsidR="007B5DDE" w:rsidRPr="001B517B" w:rsidRDefault="007B5DDE" w:rsidP="00230347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B517B">
        <w:rPr>
          <w:rFonts w:ascii="Times New Roman" w:hAnsi="Times New Roman"/>
          <w:color w:val="000000"/>
          <w:sz w:val="28"/>
          <w:szCs w:val="28"/>
          <w:lang w:eastAsia="ru-RU"/>
        </w:rPr>
        <w:t>Для принятия мер по устранению выявленных нарушений в хозяйственной, финансовой и иной деятельности, возмещению причиненного государству ущерба и привлечению к ответственности должностных лиц, виновных в нарушении законодательства Российской Федерации и бесхозяйственности. Счетная палата направляет представление органам государственной власти Российской Федерации, руководителям проверяемых предприятий, учреждений и организаций. Это представление должно быть рассмотрено в указанный в нем срок, а если он не указан, то в течение 20 дней со дня получения предписания.</w:t>
      </w:r>
    </w:p>
    <w:p w:rsidR="007B5DDE" w:rsidRPr="001B517B" w:rsidRDefault="007B5DDE" w:rsidP="00230347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B517B">
        <w:rPr>
          <w:rFonts w:ascii="Times New Roman" w:hAnsi="Times New Roman"/>
          <w:color w:val="000000"/>
          <w:sz w:val="28"/>
          <w:szCs w:val="28"/>
          <w:lang w:eastAsia="ru-RU"/>
        </w:rPr>
        <w:t>Счетная палата имеет право давать администрации проверяемых предприятий, учреждений и организаций обязательные для исполнения предписания в случаях выявления нарушений в финансовой, хозяйственной, коммерческой и иной деятельности предприятия, учреждения и организации, наносящих государству прямой непосредственный ущерб и требующих в связи с этим безотлагательного пресечения, а также умышленного или систематического несоблюдения порядка и сроков рассмотрения представлений Счетной палаты, создания препятствий для проведения ее контрольных мероприятий.</w:t>
      </w:r>
    </w:p>
    <w:p w:rsidR="007B5DDE" w:rsidRPr="001B517B" w:rsidRDefault="007B5DDE" w:rsidP="00230347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B517B">
        <w:rPr>
          <w:rFonts w:ascii="Times New Roman" w:hAnsi="Times New Roman"/>
          <w:color w:val="000000"/>
          <w:sz w:val="28"/>
          <w:szCs w:val="28"/>
          <w:lang w:eastAsia="ru-RU"/>
        </w:rPr>
        <w:t>При неоднократном неисполнении или ненадлежащем исполнении предписаний Коллегия Счетной палаты может по согласованию с Государственной Думой РФ принять решение о приостановлении всех видов финансовых, платежных и расчетных операций по банковским счетам проверяемых предприятий, учреждений и организаций. Данное предписание может быть обжаловано в судебном порядке.</w:t>
      </w:r>
    </w:p>
    <w:p w:rsidR="007B5DDE" w:rsidRPr="001B517B" w:rsidRDefault="007B5DDE" w:rsidP="00230347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B517B">
        <w:rPr>
          <w:rFonts w:ascii="Times New Roman" w:hAnsi="Times New Roman"/>
          <w:color w:val="000000"/>
          <w:sz w:val="28"/>
          <w:szCs w:val="28"/>
          <w:lang w:eastAsia="ru-RU"/>
        </w:rPr>
        <w:t>При проведении контрольной деятельности Счетная палата взаимодействует с другими контрольными органами Российской Федерации. Контрольные органы Президента РФ и Правительства РФ, субъектов Федерации, правоохранительные органы, Центральный банк РФ, Министерство РФ по налогам и сборам и иные органы, а также органы ведомственного контроля обязаны оказывать содействие деятельности Счетной палаты. Деятельность Счетной палаты по закону является главной, результаты ее деятельности должны освещаться в средствах массовой информации.</w:t>
      </w:r>
    </w:p>
    <w:p w:rsidR="007B5DDE" w:rsidRDefault="007B5DDE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br w:type="page"/>
      </w:r>
    </w:p>
    <w:p w:rsidR="007B5DDE" w:rsidRPr="00E24F1E" w:rsidRDefault="007B5DDE" w:rsidP="00E24F1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E24F1E">
        <w:rPr>
          <w:rFonts w:ascii="Times New Roman" w:hAnsi="Times New Roman"/>
          <w:b/>
          <w:color w:val="000000"/>
          <w:sz w:val="28"/>
          <w:szCs w:val="28"/>
        </w:rPr>
        <w:t xml:space="preserve">Вопрос 2: </w:t>
      </w:r>
      <w:r w:rsidRPr="00E24F1E">
        <w:rPr>
          <w:rFonts w:ascii="Times New Roman" w:hAnsi="Times New Roman"/>
          <w:b/>
          <w:sz w:val="28"/>
          <w:szCs w:val="28"/>
        </w:rPr>
        <w:t>Управление государственным долгом осуществляет Банк России.</w:t>
      </w:r>
    </w:p>
    <w:p w:rsidR="007B5DDE" w:rsidRPr="006C5DFB" w:rsidRDefault="007B5DDE" w:rsidP="006C5DFB">
      <w:pPr>
        <w:pStyle w:val="a4"/>
        <w:ind w:left="84" w:right="84"/>
        <w:jc w:val="both"/>
        <w:rPr>
          <w:sz w:val="28"/>
          <w:szCs w:val="28"/>
        </w:rPr>
      </w:pPr>
      <w:r w:rsidRPr="006C5DFB">
        <w:rPr>
          <w:sz w:val="28"/>
          <w:szCs w:val="28"/>
        </w:rPr>
        <w:t>Управление государственным долгом осуществля</w:t>
      </w:r>
      <w:r w:rsidRPr="006C5DFB">
        <w:rPr>
          <w:sz w:val="28"/>
          <w:szCs w:val="28"/>
        </w:rPr>
        <w:softHyphen/>
        <w:t>ют Правительство РФ и его специальный орган — Министерство финансов РФ, а также Центральный банк РФ и Внешэкономбанк как агенты Минфина РФ - эти органы определяют генеральные условия выпуска отдельных займов, порядок эмиссии и обраще</w:t>
      </w:r>
      <w:r w:rsidRPr="006C5DFB">
        <w:rPr>
          <w:sz w:val="28"/>
          <w:szCs w:val="28"/>
        </w:rPr>
        <w:softHyphen/>
        <w:t>ния долговых обязательств, время выпуска очередного займа и условия его функционирования, организуют первичное размеще</w:t>
      </w:r>
      <w:r w:rsidRPr="006C5DFB">
        <w:rPr>
          <w:sz w:val="28"/>
          <w:szCs w:val="28"/>
        </w:rPr>
        <w:softHyphen/>
        <w:t>ние и вторичный рынок государственных ценных бумаг, органи</w:t>
      </w:r>
      <w:r w:rsidRPr="006C5DFB">
        <w:rPr>
          <w:sz w:val="28"/>
          <w:szCs w:val="28"/>
        </w:rPr>
        <w:softHyphen/>
        <w:t>зуют и осуществляют выплату доходов и погашение долговых обязательств, организуют и осуществляют выдачу государствен</w:t>
      </w:r>
      <w:r w:rsidRPr="006C5DFB">
        <w:rPr>
          <w:sz w:val="28"/>
          <w:szCs w:val="28"/>
        </w:rPr>
        <w:softHyphen/>
        <w:t>ных (бюджетных) кредитов и государственных гарантий, осуще</w:t>
      </w:r>
      <w:r w:rsidRPr="006C5DFB">
        <w:rPr>
          <w:sz w:val="28"/>
          <w:szCs w:val="28"/>
        </w:rPr>
        <w:softHyphen/>
        <w:t>ствляют контрольные действия и другие мероприятия по опера</w:t>
      </w:r>
      <w:r w:rsidRPr="006C5DFB">
        <w:rPr>
          <w:sz w:val="28"/>
          <w:szCs w:val="28"/>
        </w:rPr>
        <w:softHyphen/>
        <w:t>тивному управлению государственным долгом.</w:t>
      </w:r>
    </w:p>
    <w:p w:rsidR="007B5DDE" w:rsidRPr="006C5DFB" w:rsidRDefault="007B5DDE" w:rsidP="006C5DFB">
      <w:pPr>
        <w:pStyle w:val="a4"/>
        <w:ind w:left="84" w:right="84"/>
        <w:jc w:val="both"/>
        <w:rPr>
          <w:sz w:val="28"/>
          <w:szCs w:val="28"/>
        </w:rPr>
      </w:pPr>
      <w:r w:rsidRPr="006C5DFB">
        <w:rPr>
          <w:sz w:val="28"/>
          <w:szCs w:val="28"/>
        </w:rPr>
        <w:t>Обслуживание государственного внутреннего долга осуществ</w:t>
      </w:r>
      <w:r w:rsidRPr="006C5DFB">
        <w:rPr>
          <w:sz w:val="28"/>
          <w:szCs w:val="28"/>
        </w:rPr>
        <w:softHyphen/>
        <w:t>ляет Центральный банк РФ, а внешнего — Внешэкономбанк. Эти банки проводят свою работу на основе специальных соглашений с Минфином РФ. Обслуживание государственного долга субъек</w:t>
      </w:r>
      <w:r w:rsidRPr="006C5DFB">
        <w:rPr>
          <w:sz w:val="28"/>
          <w:szCs w:val="28"/>
        </w:rPr>
        <w:softHyphen/>
        <w:t>та РФ осуществляется в соответствии с федеральным и регио</w:t>
      </w:r>
      <w:r w:rsidRPr="006C5DFB">
        <w:rPr>
          <w:sz w:val="28"/>
          <w:szCs w:val="28"/>
        </w:rPr>
        <w:softHyphen/>
        <w:t>нальным законодательством.</w:t>
      </w:r>
    </w:p>
    <w:p w:rsidR="007B5DDE" w:rsidRDefault="007B5DDE" w:rsidP="006C5DFB">
      <w:pPr>
        <w:pStyle w:val="a4"/>
        <w:ind w:left="142"/>
        <w:rPr>
          <w:sz w:val="28"/>
          <w:szCs w:val="28"/>
        </w:rPr>
      </w:pPr>
      <w:r>
        <w:rPr>
          <w:sz w:val="28"/>
          <w:szCs w:val="28"/>
        </w:rPr>
        <w:t xml:space="preserve">Управление государственным долгом </w:t>
      </w:r>
      <w:r w:rsidRPr="006C5DFB">
        <w:rPr>
          <w:sz w:val="28"/>
          <w:szCs w:val="28"/>
        </w:rPr>
        <w:t>–  совокупность финансовых мероприятий государства и центрального банка, связанные с погашением займов, организацией выплат доходов по ним, проведением конверсии государственных займов и консолидации займов, а тж. размещению новых долговых обязательств. Рефинансирование, т.е. выпуск новых займов в целях покрытия ранее выпущенных долговых обязательств, государство обычно использует при недостаточности средств централизованного денежного фонда (бюджета). Конверсия займа выражается в изменении размера доходности займа. Изменение доходности может заключаться как в снижении, так и в повышении процентной ставки дохода, выплачиваемого государством своим кредиторам. Государство правомочно сократить либо увеличить сроки обращения долговых обязательств. Функции государства по изменению сроков действия ранее выпущенных займов называются консолидацией. В Мероприятия государства по унифицированы”) займов означают обмен нескольких ранее выпущенных займов на один новый. Аннулирование государственного внутреннего долга, т.е. полный отказ от долговых обязательств, – это, как правило, крайняя мера по управлению внутренним долгом. Принятие такой меры обусловлено обычно сменой политической власти.</w:t>
      </w:r>
    </w:p>
    <w:p w:rsidR="007B5DDE" w:rsidRDefault="007B5DDE">
      <w:pPr>
        <w:rPr>
          <w:rFonts w:ascii="Times New Roman" w:hAnsi="Times New Roman"/>
          <w:sz w:val="28"/>
          <w:szCs w:val="28"/>
          <w:lang w:eastAsia="ru-RU"/>
        </w:rPr>
      </w:pPr>
      <w:r>
        <w:rPr>
          <w:sz w:val="28"/>
          <w:szCs w:val="28"/>
        </w:rPr>
        <w:br w:type="page"/>
      </w:r>
    </w:p>
    <w:p w:rsidR="007B5DDE" w:rsidRPr="006C5DFB" w:rsidRDefault="007B5DDE" w:rsidP="006C5DFB">
      <w:pPr>
        <w:pStyle w:val="a4"/>
        <w:ind w:left="142"/>
        <w:rPr>
          <w:sz w:val="28"/>
          <w:szCs w:val="28"/>
        </w:rPr>
      </w:pPr>
    </w:p>
    <w:p w:rsidR="007B5DDE" w:rsidRPr="006C5DFB" w:rsidRDefault="007B5DDE" w:rsidP="006C5DFB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6C5DFB">
        <w:rPr>
          <w:rFonts w:ascii="Times New Roman" w:hAnsi="Times New Roman"/>
          <w:b/>
          <w:color w:val="000000"/>
          <w:sz w:val="28"/>
          <w:szCs w:val="28"/>
        </w:rPr>
        <w:t>Вопрос 3:</w:t>
      </w:r>
      <w:r w:rsidRPr="006C5DFB">
        <w:rPr>
          <w:rFonts w:ascii="Times New Roman" w:hAnsi="Times New Roman"/>
          <w:b/>
          <w:sz w:val="28"/>
          <w:szCs w:val="28"/>
        </w:rPr>
        <w:t xml:space="preserve"> Реструктуризация государственного долга – это погашение долговых обязательств с одновременным осуществлением заимствований в объемах погашенных долговых обязательств.</w:t>
      </w:r>
    </w:p>
    <w:p w:rsidR="007B5DDE" w:rsidRPr="004C7647" w:rsidRDefault="007B5DDE" w:rsidP="006C5DFB">
      <w:pPr>
        <w:rPr>
          <w:rFonts w:ascii="Times New Roman" w:hAnsi="Times New Roman"/>
          <w:b/>
          <w:sz w:val="32"/>
          <w:szCs w:val="28"/>
        </w:rPr>
      </w:pPr>
    </w:p>
    <w:p w:rsidR="007B5DDE" w:rsidRPr="004C7647" w:rsidRDefault="007B5DDE" w:rsidP="006C5DFB">
      <w:pPr>
        <w:pStyle w:val="a4"/>
        <w:rPr>
          <w:sz w:val="28"/>
        </w:rPr>
      </w:pPr>
      <w:r w:rsidRPr="004C7647">
        <w:rPr>
          <w:bCs/>
          <w:sz w:val="28"/>
        </w:rPr>
        <w:t>Реструктуризация государственного долга</w:t>
      </w:r>
      <w:r w:rsidRPr="004C7647">
        <w:rPr>
          <w:sz w:val="28"/>
        </w:rPr>
        <w:t xml:space="preserve"> — это пересмотр условий обслуживания долга (процента кредита, суммы, сроков возврата и др.). В общем смысле реструктуризация актуальна, когда появляется угроза </w:t>
      </w:r>
      <w:hyperlink r:id="rId10" w:tooltip="Банкрот" w:history="1">
        <w:r w:rsidRPr="004C7647">
          <w:rPr>
            <w:rStyle w:val="a3"/>
            <w:color w:val="auto"/>
            <w:sz w:val="28"/>
            <w:u w:val="none"/>
          </w:rPr>
          <w:t>банкротства</w:t>
        </w:r>
      </w:hyperlink>
      <w:r w:rsidRPr="004C7647">
        <w:rPr>
          <w:sz w:val="28"/>
        </w:rPr>
        <w:t xml:space="preserve"> заемщика, то есть его неспособности произвести погашение долговых обязательств в соответствии с первоначальными условиями его предоставления.</w:t>
      </w:r>
    </w:p>
    <w:p w:rsidR="007B5DDE" w:rsidRPr="004C7647" w:rsidRDefault="007B5DDE" w:rsidP="006C5DFB">
      <w:pPr>
        <w:pStyle w:val="a4"/>
        <w:rPr>
          <w:sz w:val="28"/>
        </w:rPr>
      </w:pPr>
      <w:r w:rsidRPr="004C7647">
        <w:rPr>
          <w:sz w:val="28"/>
        </w:rPr>
        <w:t xml:space="preserve">К реструктуризации государственного долга приводит макроэкономическая политика государства, согласно которой правительство увеличивает величину долга посредством займов у иностранных государств, в результате чего общая величина займов намного превышает </w:t>
      </w:r>
      <w:hyperlink r:id="rId11" w:tooltip="Дефицит" w:history="1">
        <w:r w:rsidRPr="004C7647">
          <w:rPr>
            <w:rStyle w:val="a3"/>
            <w:color w:val="auto"/>
            <w:sz w:val="28"/>
            <w:u w:val="none"/>
          </w:rPr>
          <w:t>дефицит</w:t>
        </w:r>
      </w:hyperlink>
      <w:r w:rsidRPr="004C7647">
        <w:rPr>
          <w:sz w:val="28"/>
        </w:rPr>
        <w:t xml:space="preserve"> счёта текущих операций. Взятые заёмные средства направляются на приобретение иностранных активов в то время как должны были быть направлены на финансирование отраслей нац. экономики. Такая денежно-кредитная политика государства способствует оттоку частного капитала за границу.</w:t>
      </w:r>
    </w:p>
    <w:p w:rsidR="007B5DDE" w:rsidRPr="00FD0A95" w:rsidRDefault="007B5DDE" w:rsidP="00FD0A95">
      <w:pPr>
        <w:spacing w:before="100" w:beforeAutospacing="1" w:after="360" w:line="240" w:lineRule="auto"/>
        <w:rPr>
          <w:rFonts w:ascii="Georgia" w:hAnsi="Georgia"/>
          <w:color w:val="333333"/>
          <w:sz w:val="24"/>
          <w:szCs w:val="24"/>
          <w:lang w:eastAsia="ru-RU"/>
        </w:rPr>
      </w:pPr>
      <w:r w:rsidRPr="00FD0A95">
        <w:rPr>
          <w:rFonts w:ascii="Georgia" w:hAnsi="Georgia"/>
          <w:color w:val="333333"/>
          <w:sz w:val="24"/>
          <w:szCs w:val="24"/>
          <w:lang w:eastAsia="ru-RU"/>
        </w:rPr>
        <w:t xml:space="preserve">Реструктуризация государственного долга предполагает такое изменение параметров долга, которое существенно повысило бы возможность выполнения заемщиком своих обязательств как за счет снижения тяжести этого долга, так и за счет повышения жесткости обязательств. Реструктуризация преследует также цели минимизации потерь кредиторов и расширения возможностей экономического развития должника. </w:t>
      </w:r>
    </w:p>
    <w:p w:rsidR="007B5DDE" w:rsidRPr="00FD0A95" w:rsidRDefault="007B5DDE" w:rsidP="00FD0A95">
      <w:pPr>
        <w:spacing w:before="100" w:beforeAutospacing="1" w:after="360" w:line="240" w:lineRule="auto"/>
        <w:rPr>
          <w:rFonts w:ascii="Georgia" w:hAnsi="Georgia"/>
          <w:color w:val="333333"/>
          <w:sz w:val="24"/>
          <w:szCs w:val="24"/>
          <w:lang w:eastAsia="ru-RU"/>
        </w:rPr>
      </w:pPr>
      <w:r w:rsidRPr="00FD0A95">
        <w:rPr>
          <w:rFonts w:ascii="Georgia" w:hAnsi="Georgia"/>
          <w:color w:val="333333"/>
          <w:sz w:val="24"/>
          <w:szCs w:val="24"/>
          <w:lang w:eastAsia="ru-RU"/>
        </w:rPr>
        <w:t xml:space="preserve">Целью реструктуризации является повышение вероятности выполнения заемщиком обязательств по долгу. Это достигается следующими путями: </w:t>
      </w:r>
    </w:p>
    <w:p w:rsidR="007B5DDE" w:rsidRPr="00FD0A95" w:rsidRDefault="007B5DDE" w:rsidP="00FD0A95">
      <w:pPr>
        <w:spacing w:before="100" w:beforeAutospacing="1" w:after="360" w:line="240" w:lineRule="auto"/>
        <w:rPr>
          <w:rFonts w:ascii="Georgia" w:hAnsi="Georgia"/>
          <w:color w:val="333333"/>
          <w:sz w:val="24"/>
          <w:szCs w:val="24"/>
          <w:lang w:eastAsia="ru-RU"/>
        </w:rPr>
      </w:pPr>
      <w:r w:rsidRPr="00FD0A95">
        <w:rPr>
          <w:rFonts w:ascii="Georgia" w:hAnsi="Georgia"/>
          <w:color w:val="333333"/>
          <w:sz w:val="24"/>
          <w:szCs w:val="24"/>
          <w:lang w:eastAsia="ru-RU"/>
        </w:rPr>
        <w:t xml:space="preserve">-         изменение статуса обязательств заемщика может привести к более тяжелым последствиям при неисполнении обязательств; </w:t>
      </w:r>
    </w:p>
    <w:p w:rsidR="007B5DDE" w:rsidRPr="00FD0A95" w:rsidRDefault="007B5DDE" w:rsidP="00FD0A95">
      <w:pPr>
        <w:spacing w:before="100" w:beforeAutospacing="1" w:after="360" w:line="240" w:lineRule="auto"/>
        <w:rPr>
          <w:rFonts w:ascii="Georgia" w:hAnsi="Georgia"/>
          <w:color w:val="333333"/>
          <w:sz w:val="24"/>
          <w:szCs w:val="24"/>
          <w:lang w:eastAsia="ru-RU"/>
        </w:rPr>
      </w:pPr>
      <w:r w:rsidRPr="00FD0A95">
        <w:rPr>
          <w:rFonts w:ascii="Georgia" w:hAnsi="Georgia"/>
          <w:color w:val="333333"/>
          <w:sz w:val="24"/>
          <w:szCs w:val="24"/>
          <w:lang w:eastAsia="ru-RU"/>
        </w:rPr>
        <w:t xml:space="preserve">-         усиление материальной обеспеченности обязательств, в том числе за счет создания принципиально новых и пересмотра имеющихся гарантий и поручительств; </w:t>
      </w:r>
    </w:p>
    <w:p w:rsidR="007B5DDE" w:rsidRPr="00FD0A95" w:rsidRDefault="007B5DDE" w:rsidP="00FD0A95">
      <w:pPr>
        <w:spacing w:before="100" w:beforeAutospacing="1" w:after="360" w:line="240" w:lineRule="auto"/>
        <w:rPr>
          <w:rFonts w:ascii="Georgia" w:hAnsi="Georgia"/>
          <w:color w:val="333333"/>
          <w:sz w:val="24"/>
          <w:szCs w:val="24"/>
          <w:lang w:eastAsia="ru-RU"/>
        </w:rPr>
      </w:pPr>
      <w:r w:rsidRPr="00FD0A95">
        <w:rPr>
          <w:rFonts w:ascii="Georgia" w:hAnsi="Georgia"/>
          <w:color w:val="333333"/>
          <w:sz w:val="24"/>
          <w:szCs w:val="24"/>
          <w:lang w:eastAsia="ru-RU"/>
        </w:rPr>
        <w:t xml:space="preserve">-         выставление кредитором условий, выполнение которых приведет к расширению источников обслуживания долга, т.к. такие условия принимают, как правило, форму программ реформирования экономики. </w:t>
      </w:r>
    </w:p>
    <w:p w:rsidR="007B5DDE" w:rsidRPr="00FD0A95" w:rsidRDefault="007B5DDE" w:rsidP="00FD0A95">
      <w:pPr>
        <w:spacing w:before="100" w:beforeAutospacing="1" w:after="360" w:line="240" w:lineRule="auto"/>
        <w:rPr>
          <w:rFonts w:ascii="Georgia" w:hAnsi="Georgia"/>
          <w:color w:val="333333"/>
          <w:sz w:val="24"/>
          <w:szCs w:val="24"/>
          <w:lang w:eastAsia="ru-RU"/>
        </w:rPr>
      </w:pPr>
      <w:r w:rsidRPr="00FD0A95">
        <w:rPr>
          <w:rFonts w:ascii="Georgia" w:hAnsi="Georgia"/>
          <w:color w:val="333333"/>
          <w:sz w:val="24"/>
          <w:szCs w:val="24"/>
          <w:lang w:eastAsia="ru-RU"/>
        </w:rPr>
        <w:t xml:space="preserve">Эффективность реструктуризации долга оказалась очень высокой, в результате чего применение данной формы урегулирования долга используется не только в случаях затруднений в обслуживании долга, но и в целях оптимизации государственного долга, при благоприятной ситуации на мировом рынке. </w:t>
      </w:r>
    </w:p>
    <w:p w:rsidR="007B5DDE" w:rsidRPr="00FD0A95" w:rsidRDefault="007B5DDE" w:rsidP="00FD0A95">
      <w:pPr>
        <w:spacing w:before="100" w:beforeAutospacing="1" w:after="360" w:line="240" w:lineRule="auto"/>
        <w:rPr>
          <w:rFonts w:ascii="Georgia" w:hAnsi="Georgia"/>
          <w:color w:val="333333"/>
          <w:sz w:val="24"/>
          <w:szCs w:val="24"/>
          <w:lang w:eastAsia="ru-RU"/>
        </w:rPr>
      </w:pPr>
      <w:r w:rsidRPr="00FD0A95">
        <w:rPr>
          <w:rFonts w:ascii="Georgia" w:hAnsi="Georgia"/>
          <w:b/>
          <w:bCs/>
          <w:color w:val="333333"/>
          <w:sz w:val="24"/>
          <w:szCs w:val="24"/>
          <w:lang w:eastAsia="ru-RU"/>
        </w:rPr>
        <w:t>Конверсия долга</w:t>
      </w:r>
      <w:r w:rsidRPr="00FD0A95">
        <w:rPr>
          <w:rFonts w:ascii="Georgia" w:hAnsi="Georgia"/>
          <w:color w:val="333333"/>
          <w:sz w:val="24"/>
          <w:szCs w:val="24"/>
          <w:lang w:eastAsia="ru-RU"/>
        </w:rPr>
        <w:t xml:space="preserve"> в широком смысле предполагает любую замену старого долга на новый актив, включая замену старого долга на новый долг, а также замену долга на собственность.  В узком смысле под конверсией долга понимается обмен долга на собственность (своп). </w:t>
      </w:r>
    </w:p>
    <w:p w:rsidR="007B5DDE" w:rsidRPr="006C5DFB" w:rsidRDefault="007B5DDE" w:rsidP="006C5DFB">
      <w:pPr>
        <w:rPr>
          <w:rFonts w:ascii="Times New Roman" w:hAnsi="Times New Roman"/>
          <w:b/>
          <w:color w:val="000000"/>
          <w:sz w:val="28"/>
          <w:szCs w:val="28"/>
        </w:rPr>
      </w:pPr>
    </w:p>
    <w:p w:rsidR="007B5DDE" w:rsidRDefault="007B5DDE">
      <w:pPr>
        <w:rPr>
          <w:rFonts w:ascii="Times New Roman" w:hAnsi="Times New Roman"/>
          <w:color w:val="000000"/>
          <w:sz w:val="28"/>
          <w:szCs w:val="28"/>
        </w:rPr>
      </w:pPr>
    </w:p>
    <w:p w:rsidR="007B5DDE" w:rsidRDefault="007B5DDE">
      <w:pPr>
        <w:rPr>
          <w:rFonts w:ascii="Times New Roman" w:hAnsi="Times New Roman"/>
          <w:color w:val="000000"/>
          <w:sz w:val="28"/>
          <w:szCs w:val="28"/>
        </w:rPr>
      </w:pPr>
    </w:p>
    <w:p w:rsidR="007B5DDE" w:rsidRDefault="007B5DDE">
      <w:pPr>
        <w:rPr>
          <w:rFonts w:ascii="Times New Roman" w:hAnsi="Times New Roman"/>
          <w:color w:val="000000"/>
          <w:sz w:val="28"/>
          <w:szCs w:val="28"/>
        </w:rPr>
      </w:pPr>
    </w:p>
    <w:p w:rsidR="007B5DDE" w:rsidRDefault="007B5DDE">
      <w:pPr>
        <w:rPr>
          <w:rFonts w:ascii="Times New Roman" w:hAnsi="Times New Roman"/>
          <w:color w:val="000000"/>
          <w:sz w:val="28"/>
          <w:szCs w:val="28"/>
        </w:rPr>
      </w:pPr>
    </w:p>
    <w:p w:rsidR="007B5DDE" w:rsidRDefault="007B5DDE">
      <w:pPr>
        <w:rPr>
          <w:rFonts w:ascii="Times New Roman" w:hAnsi="Times New Roman"/>
          <w:color w:val="000000"/>
          <w:sz w:val="28"/>
          <w:szCs w:val="28"/>
        </w:rPr>
      </w:pPr>
    </w:p>
    <w:p w:rsidR="007B5DDE" w:rsidRDefault="007B5DDE">
      <w:pPr>
        <w:rPr>
          <w:rFonts w:ascii="Times New Roman" w:hAnsi="Times New Roman"/>
          <w:color w:val="000000"/>
          <w:sz w:val="28"/>
          <w:szCs w:val="28"/>
        </w:rPr>
      </w:pPr>
    </w:p>
    <w:p w:rsidR="007B5DDE" w:rsidRDefault="007B5DDE">
      <w:pPr>
        <w:rPr>
          <w:rFonts w:ascii="Times New Roman" w:hAnsi="Times New Roman"/>
          <w:color w:val="000000"/>
          <w:sz w:val="28"/>
          <w:szCs w:val="28"/>
        </w:rPr>
      </w:pPr>
      <w:bookmarkStart w:id="1" w:name="_GoBack"/>
      <w:bookmarkEnd w:id="1"/>
    </w:p>
    <w:sectPr w:rsidR="007B5DDE" w:rsidSect="008A1858">
      <w:pgSz w:w="11906" w:h="16838"/>
      <w:pgMar w:top="709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3571AD"/>
    <w:multiLevelType w:val="multilevel"/>
    <w:tmpl w:val="999A117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05606064"/>
    <w:multiLevelType w:val="multilevel"/>
    <w:tmpl w:val="710C6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F34796E"/>
    <w:multiLevelType w:val="multilevel"/>
    <w:tmpl w:val="A8CE90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C1925B4"/>
    <w:multiLevelType w:val="multilevel"/>
    <w:tmpl w:val="26224C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C8C6D70"/>
    <w:multiLevelType w:val="multilevel"/>
    <w:tmpl w:val="7F567C7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20022CEC"/>
    <w:multiLevelType w:val="multilevel"/>
    <w:tmpl w:val="18AE2C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27F518DC"/>
    <w:multiLevelType w:val="multilevel"/>
    <w:tmpl w:val="D876C5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8525BCC"/>
    <w:multiLevelType w:val="multilevel"/>
    <w:tmpl w:val="E58499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8B110C7"/>
    <w:multiLevelType w:val="multilevel"/>
    <w:tmpl w:val="98EAD9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3BDC38F4"/>
    <w:multiLevelType w:val="multilevel"/>
    <w:tmpl w:val="705CDE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3D5A7896"/>
    <w:multiLevelType w:val="multilevel"/>
    <w:tmpl w:val="D58632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40B05239"/>
    <w:multiLevelType w:val="multilevel"/>
    <w:tmpl w:val="4D4CCF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5370386"/>
    <w:multiLevelType w:val="multilevel"/>
    <w:tmpl w:val="9C969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5965220"/>
    <w:multiLevelType w:val="hybridMultilevel"/>
    <w:tmpl w:val="4722774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527D5E16"/>
    <w:multiLevelType w:val="multilevel"/>
    <w:tmpl w:val="8CC842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>
    <w:nsid w:val="56901A61"/>
    <w:multiLevelType w:val="multilevel"/>
    <w:tmpl w:val="6F520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DD21058"/>
    <w:multiLevelType w:val="multilevel"/>
    <w:tmpl w:val="833E7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1856C8C"/>
    <w:multiLevelType w:val="multilevel"/>
    <w:tmpl w:val="2CC259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>
    <w:nsid w:val="68154C95"/>
    <w:multiLevelType w:val="multilevel"/>
    <w:tmpl w:val="7E7001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>
    <w:nsid w:val="70DB5DBC"/>
    <w:multiLevelType w:val="multilevel"/>
    <w:tmpl w:val="8A125D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16"/>
  </w:num>
  <w:num w:numId="3">
    <w:abstractNumId w:val="15"/>
  </w:num>
  <w:num w:numId="4">
    <w:abstractNumId w:val="18"/>
  </w:num>
  <w:num w:numId="5">
    <w:abstractNumId w:val="8"/>
  </w:num>
  <w:num w:numId="6">
    <w:abstractNumId w:val="9"/>
  </w:num>
  <w:num w:numId="7">
    <w:abstractNumId w:val="14"/>
  </w:num>
  <w:num w:numId="8">
    <w:abstractNumId w:val="5"/>
  </w:num>
  <w:num w:numId="9">
    <w:abstractNumId w:val="10"/>
  </w:num>
  <w:num w:numId="10">
    <w:abstractNumId w:val="19"/>
  </w:num>
  <w:num w:numId="11">
    <w:abstractNumId w:val="11"/>
  </w:num>
  <w:num w:numId="12">
    <w:abstractNumId w:val="12"/>
  </w:num>
  <w:num w:numId="13">
    <w:abstractNumId w:val="6"/>
  </w:num>
  <w:num w:numId="14">
    <w:abstractNumId w:val="3"/>
  </w:num>
  <w:num w:numId="15">
    <w:abstractNumId w:val="0"/>
  </w:num>
  <w:num w:numId="16">
    <w:abstractNumId w:val="4"/>
  </w:num>
  <w:num w:numId="17">
    <w:abstractNumId w:val="2"/>
  </w:num>
  <w:num w:numId="18">
    <w:abstractNumId w:val="7"/>
  </w:num>
  <w:num w:numId="19">
    <w:abstractNumId w:val="17"/>
  </w:num>
  <w:num w:numId="2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A1858"/>
    <w:rsid w:val="00016EE5"/>
    <w:rsid w:val="00024DDE"/>
    <w:rsid w:val="001B517B"/>
    <w:rsid w:val="00230347"/>
    <w:rsid w:val="00356CBD"/>
    <w:rsid w:val="00402A76"/>
    <w:rsid w:val="004C7647"/>
    <w:rsid w:val="00651797"/>
    <w:rsid w:val="00666B17"/>
    <w:rsid w:val="006C5DFB"/>
    <w:rsid w:val="007B5DDE"/>
    <w:rsid w:val="008A1858"/>
    <w:rsid w:val="00934570"/>
    <w:rsid w:val="00973569"/>
    <w:rsid w:val="00B260F5"/>
    <w:rsid w:val="00B51141"/>
    <w:rsid w:val="00C2705A"/>
    <w:rsid w:val="00E24F1E"/>
    <w:rsid w:val="00E66C59"/>
    <w:rsid w:val="00FA6C63"/>
    <w:rsid w:val="00FD0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0E6289-49CD-4F88-A7B8-D64C975D9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3569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2">
    <w:name w:val="heading 2"/>
    <w:basedOn w:val="a"/>
    <w:link w:val="20"/>
    <w:qFormat/>
    <w:rsid w:val="00E24F1E"/>
    <w:pPr>
      <w:spacing w:before="100" w:beforeAutospacing="1" w:after="100" w:afterAutospacing="1" w:line="240" w:lineRule="auto"/>
      <w:jc w:val="center"/>
      <w:outlineLvl w:val="1"/>
    </w:pPr>
    <w:rPr>
      <w:rFonts w:ascii="Times New Roman" w:eastAsia="Calibri" w:hAnsi="Times New Roman"/>
      <w:b/>
      <w:bCs/>
      <w:sz w:val="30"/>
      <w:szCs w:val="30"/>
      <w:lang w:eastAsia="ru-RU"/>
    </w:rPr>
  </w:style>
  <w:style w:type="paragraph" w:styleId="6">
    <w:name w:val="heading 6"/>
    <w:basedOn w:val="a"/>
    <w:link w:val="60"/>
    <w:qFormat/>
    <w:rsid w:val="00E24F1E"/>
    <w:pPr>
      <w:spacing w:before="100" w:beforeAutospacing="1" w:after="100" w:afterAutospacing="1" w:line="240" w:lineRule="auto"/>
      <w:outlineLvl w:val="5"/>
    </w:pPr>
    <w:rPr>
      <w:rFonts w:ascii="Times New Roman" w:eastAsia="Calibri" w:hAnsi="Times New Roman"/>
      <w:b/>
      <w:bCs/>
      <w:sz w:val="15"/>
      <w:szCs w:val="15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rsid w:val="008A1858"/>
    <w:rPr>
      <w:rFonts w:cs="Times New Roman"/>
      <w:color w:val="0000FF"/>
      <w:u w:val="single"/>
    </w:rPr>
  </w:style>
  <w:style w:type="paragraph" w:styleId="a4">
    <w:name w:val="Normal (Web)"/>
    <w:basedOn w:val="a"/>
    <w:rsid w:val="008A1858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  <w:lang w:eastAsia="ru-RU"/>
    </w:rPr>
  </w:style>
  <w:style w:type="character" w:styleId="a5">
    <w:name w:val="Strong"/>
    <w:basedOn w:val="a0"/>
    <w:qFormat/>
    <w:rsid w:val="008A1858"/>
    <w:rPr>
      <w:rFonts w:cs="Times New Roman"/>
      <w:b/>
      <w:bCs/>
    </w:rPr>
  </w:style>
  <w:style w:type="character" w:customStyle="1" w:styleId="20">
    <w:name w:val="Заголовок 2 Знак"/>
    <w:basedOn w:val="a0"/>
    <w:link w:val="2"/>
    <w:locked/>
    <w:rsid w:val="00E24F1E"/>
    <w:rPr>
      <w:rFonts w:ascii="Times New Roman" w:hAnsi="Times New Roman" w:cs="Times New Roman"/>
      <w:b/>
      <w:bCs/>
      <w:sz w:val="30"/>
      <w:szCs w:val="30"/>
      <w:lang w:val="x-none" w:eastAsia="ru-RU"/>
    </w:rPr>
  </w:style>
  <w:style w:type="character" w:customStyle="1" w:styleId="60">
    <w:name w:val="Заголовок 6 Знак"/>
    <w:basedOn w:val="a0"/>
    <w:link w:val="6"/>
    <w:locked/>
    <w:rsid w:val="00E24F1E"/>
    <w:rPr>
      <w:rFonts w:ascii="Times New Roman" w:hAnsi="Times New Roman" w:cs="Times New Roman"/>
      <w:b/>
      <w:bCs/>
      <w:sz w:val="15"/>
      <w:szCs w:val="15"/>
      <w:lang w:val="x-none" w:eastAsia="ru-RU"/>
    </w:rPr>
  </w:style>
  <w:style w:type="paragraph" w:styleId="a6">
    <w:name w:val="Balloon Text"/>
    <w:basedOn w:val="a"/>
    <w:link w:val="a7"/>
    <w:semiHidden/>
    <w:rsid w:val="00E24F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locked/>
    <w:rsid w:val="00E24F1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">
                      <w:marLeft w:val="13"/>
                      <w:marRight w:val="4722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">
          <w:marLeft w:val="4353"/>
          <w:marRight w:val="368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lick02.begun.ru/click.jsp?url=HvHPgwYAAQC-1I7i4IG7*0OsjMD-V5YToyqB4v5Ns-HkMpF52qEs4XWWMGv89gcXe9pWS-vcu9TmNQkjZnG*Bj1hP2KbSOyxaoF9hBhOcej4q0XY4Ahzn80jwRYhvdlOKUZ8bIhkrOdZnzYieY0bS0x33ZFNd1AkI-haVh29KuS8MSb4uvNXymqPtd*4yfK0cUlgpNZTcD5ggqeaPAKeDdPutV01ipcON6FAlHZ2CQ0jppeK2KMvMCyWPsK4JR2kUZraew*rjGXLnq9Ho2mPVzmWqrEslyxz8RWhdsIIqhGT2z6CkXmuNCjRBgwFVHr4G4B10iwJVhD7CRb1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click02.begun.ru/click.jsp?url=HvHPg6Svrq9ROduqqMnzswvkxIhRPqAenkVph9kfgqvqsclNXAKray-qdUVWOEH2IVF1AHpL12X6yduGtvo1Z9PM*vkELRXCyiutyGqgmpSF6DLETgkXTCUgW4zruiWmiRn52Uk22vDTFjQ89YxQ6GFVbpwi8Xhjt*KvuYLYyAGzmJNDKMWDMGRx*h4nMBVsuK250pAMz1Siuesi-D08m-hMbkThZy-2XZxrU9qkvARW1ik2tZh*ZtGQUrJgRTbFY2TOSSKLaAqSffbUHu0erj8-yNFzH*b4k8ffKQB-sF0KESWQPlerDFYr-jaChETqVyd5PPDnWTvdvVOvE-dy6H02dkOMJZydhRKxHy9RazF0dvxSVK*7L8wmc3zCZMDMxQEdFoBw4j2I5PL5Z9yHJvj7X-Rf5b3zzUiBdWrC56cfcPI-kPDzR6AmyG0*iyHCMekrHg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humeur.ru/page/predmet-ekonomicheskogo-analiza" TargetMode="External"/><Relationship Id="rId11" Type="http://schemas.openxmlformats.org/officeDocument/2006/relationships/hyperlink" Target="http://ru.wikipedia.org/wiki/%D0%94%D0%B5%D1%84%D0%B8%D1%86%D0%B8%D1%82" TargetMode="External"/><Relationship Id="rId5" Type="http://schemas.openxmlformats.org/officeDocument/2006/relationships/hyperlink" Target="http://www.humeur.ru/page/finansovyj-analiz" TargetMode="External"/><Relationship Id="rId10" Type="http://schemas.openxmlformats.org/officeDocument/2006/relationships/hyperlink" Target="http://ru.wikipedia.org/wiki/%D0%91%D0%B0%D0%BD%D0%BA%D1%80%D0%BE%D1%8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click02.begun.ru/click.jsp?url=HvHPg*3k5eRqoECvrcz2tg7hwY2o94I4hpYjZyjXE6UL8SEzgW2bdhGkUzlieDdhsBw5DLCQKPGDKbbC7bo7*KXujnpuH*DnXeOnluQF07YcCNQBIw-NAw01zws2Yebjjm7IBARpUO-8xMZuy8SA4-ihQnE62NnjNnvn*sgMlwnJ-gblpks5xIeb2fa1V9U7NoXpjaMVdk0A8XjNe69tUyq5LAL1ZoOTrAQQM92*iKcHMcNwPVcYKrgV2jT6qG0fY0bvklQL334Nm-ecNyzvk37oxdkcKVCWe*mpaGpo8Wci9393jZyVAxrdM1gJ0gIhh2LwxW1OgGPqEbfUwFHtHjH3crAI0LOm3y0PkUCnFY8GutwQwfO0nNLBBN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2559</Words>
  <Characters>14589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Задание №1</vt:lpstr>
    </vt:vector>
  </TitlesOfParts>
  <Company>Reanimator Extreme Edition</Company>
  <LinksUpToDate>false</LinksUpToDate>
  <CharactersWithSpaces>17114</CharactersWithSpaces>
  <SharedDoc>false</SharedDoc>
  <HLinks>
    <vt:vector size="42" baseType="variant">
      <vt:variant>
        <vt:i4>8323180</vt:i4>
      </vt:variant>
      <vt:variant>
        <vt:i4>18</vt:i4>
      </vt:variant>
      <vt:variant>
        <vt:i4>0</vt:i4>
      </vt:variant>
      <vt:variant>
        <vt:i4>5</vt:i4>
      </vt:variant>
      <vt:variant>
        <vt:lpwstr>http://ru.wikipedia.org/wiki/%D0%94%D0%B5%D1%84%D0%B8%D1%86%D0%B8%D1%82</vt:lpwstr>
      </vt:variant>
      <vt:variant>
        <vt:lpwstr/>
      </vt:variant>
      <vt:variant>
        <vt:i4>2359358</vt:i4>
      </vt:variant>
      <vt:variant>
        <vt:i4>15</vt:i4>
      </vt:variant>
      <vt:variant>
        <vt:i4>0</vt:i4>
      </vt:variant>
      <vt:variant>
        <vt:i4>5</vt:i4>
      </vt:variant>
      <vt:variant>
        <vt:lpwstr>http://ru.wikipedia.org/wiki/%D0%91%D0%B0%D0%BD%D0%BA%D1%80%D0%BE%D1%82</vt:lpwstr>
      </vt:variant>
      <vt:variant>
        <vt:lpwstr/>
      </vt:variant>
      <vt:variant>
        <vt:i4>4128815</vt:i4>
      </vt:variant>
      <vt:variant>
        <vt:i4>12</vt:i4>
      </vt:variant>
      <vt:variant>
        <vt:i4>0</vt:i4>
      </vt:variant>
      <vt:variant>
        <vt:i4>5</vt:i4>
      </vt:variant>
      <vt:variant>
        <vt:lpwstr>http://click02.begun.ru/click.jsp?url=HvHPg*3k5eRqoECvrcz2tg7hwY2o94I4hpYjZyjXE6UL8SEzgW2bdhGkUzlieDdhsBw5DLCQKPGDKbbC7bo7*KXujnpuH*DnXeOnluQF07YcCNQBIw-NAw01zws2Yebjjm7IBARpUO-8xMZuy8SA4-ihQnE62NnjNnvn*sgMlwnJ-gblpks5xIeb2fa1V9U7NoXpjaMVdk0A8XjNe69tUyq5LAL1ZoOTrAQQM92*iKcHMcNwPVcYKrgV2jT6qG0fY0bvklQL334Nm-ecNyzvk37oxdkcKVCWe*mpaGpo8Wci9393jZyVAxrdM1gJ0gIhh2LwxW1OgGPqEbfUwFHtHjH3crAI0LOm3y0PkUCnFY8GutwQwfO0nNLBBNg</vt:lpwstr>
      </vt:variant>
      <vt:variant>
        <vt:lpwstr/>
      </vt:variant>
      <vt:variant>
        <vt:i4>3604603</vt:i4>
      </vt:variant>
      <vt:variant>
        <vt:i4>9</vt:i4>
      </vt:variant>
      <vt:variant>
        <vt:i4>0</vt:i4>
      </vt:variant>
      <vt:variant>
        <vt:i4>5</vt:i4>
      </vt:variant>
      <vt:variant>
        <vt:lpwstr>http://click02.begun.ru/click.jsp?url=HvHPgwYAAQC-1I7i4IG7*0OsjMD-V5YToyqB4v5Ns-HkMpF52qEs4XWWMGv89gcXe9pWS-vcu9TmNQkjZnG*Bj1hP2KbSOyxaoF9hBhOcej4q0XY4Ahzn80jwRYhvdlOKUZ8bIhkrOdZnzYieY0bS0x33ZFNd1AkI-haVh29KuS8MSb4uvNXymqPtd*4yfK0cUlgpNZTcD5ggqeaPAKeDdPutV01ipcON6FAlHZ2CQ0jppeK2KMvMCyWPsK4JR2kUZraew*rjGXLnq9Ho2mPVzmWqrEslyxz8RWhdsIIqhGT2z6CkXmuNCjRBgwFVHr4G4B10iwJVhD7CRb1</vt:lpwstr>
      </vt:variant>
      <vt:variant>
        <vt:lpwstr/>
      </vt:variant>
      <vt:variant>
        <vt:i4>3670057</vt:i4>
      </vt:variant>
      <vt:variant>
        <vt:i4>6</vt:i4>
      </vt:variant>
      <vt:variant>
        <vt:i4>0</vt:i4>
      </vt:variant>
      <vt:variant>
        <vt:i4>5</vt:i4>
      </vt:variant>
      <vt:variant>
        <vt:lpwstr>http://click02.begun.ru/click.jsp?url=HvHPg6Svrq9ROduqqMnzswvkxIhRPqAenkVph9kfgqvqsclNXAKray-qdUVWOEH2IVF1AHpL12X6yduGtvo1Z9PM*vkELRXCyiutyGqgmpSF6DLETgkXTCUgW4zruiWmiRn52Uk22vDTFjQ89YxQ6GFVbpwi8Xhjt*KvuYLYyAGzmJNDKMWDMGRx*h4nMBVsuK250pAMz1Siuesi-D08m-hMbkThZy-2XZxrU9qkvARW1ik2tZh*ZtGQUrJgRTbFY2TOSSKLaAqSffbUHu0erj8-yNFzH*b4k8ffKQB-sF0KESWQPlerDFYr-jaChETqVyd5PPDnWTvdvVOvE-dy6H02dkOMJZydhRKxHy9RazF0dvxSVK*7L8wmc3zCZMDMxQEdFoBw4j2I5PL5Z9yHJvj7X-Rf5b3zzUiBdWrC56cfcPI-kPDzR6AmyG0*iyHCMekrHg</vt:lpwstr>
      </vt:variant>
      <vt:variant>
        <vt:lpwstr/>
      </vt:variant>
      <vt:variant>
        <vt:i4>5308441</vt:i4>
      </vt:variant>
      <vt:variant>
        <vt:i4>3</vt:i4>
      </vt:variant>
      <vt:variant>
        <vt:i4>0</vt:i4>
      </vt:variant>
      <vt:variant>
        <vt:i4>5</vt:i4>
      </vt:variant>
      <vt:variant>
        <vt:lpwstr>http://www.humeur.ru/page/predmet-ekonomicheskogo-analiza</vt:lpwstr>
      </vt:variant>
      <vt:variant>
        <vt:lpwstr/>
      </vt:variant>
      <vt:variant>
        <vt:i4>3538996</vt:i4>
      </vt:variant>
      <vt:variant>
        <vt:i4>0</vt:i4>
      </vt:variant>
      <vt:variant>
        <vt:i4>0</vt:i4>
      </vt:variant>
      <vt:variant>
        <vt:i4>5</vt:i4>
      </vt:variant>
      <vt:variant>
        <vt:lpwstr>http://www.humeur.ru/page/finansovyj-analiz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Задание №1</dc:title>
  <dc:subject/>
  <dc:creator>Светлана</dc:creator>
  <cp:keywords/>
  <dc:description/>
  <cp:lastModifiedBy>admin</cp:lastModifiedBy>
  <cp:revision>2</cp:revision>
  <dcterms:created xsi:type="dcterms:W3CDTF">2014-05-10T09:14:00Z</dcterms:created>
  <dcterms:modified xsi:type="dcterms:W3CDTF">2014-05-10T09:14:00Z</dcterms:modified>
</cp:coreProperties>
</file>