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6AF" w:rsidRDefault="009036AF" w:rsidP="00941C07">
      <w:pPr>
        <w:jc w:val="right"/>
        <w:rPr>
          <w:b/>
        </w:rPr>
      </w:pPr>
    </w:p>
    <w:p w:rsidR="00941C07" w:rsidRDefault="00941C07" w:rsidP="00941C07">
      <w:pPr>
        <w:jc w:val="right"/>
        <w:rPr>
          <w:b/>
        </w:rPr>
      </w:pPr>
      <w:r>
        <w:rPr>
          <w:b/>
        </w:rPr>
        <w:t>М.Ю. Головнин, к.э.н.</w:t>
      </w:r>
    </w:p>
    <w:p w:rsidR="00941C07" w:rsidRDefault="00941C07" w:rsidP="00941C07">
      <w:pPr>
        <w:jc w:val="right"/>
        <w:rPr>
          <w:b/>
        </w:rPr>
      </w:pPr>
      <w:r>
        <w:rPr>
          <w:b/>
        </w:rPr>
        <w:t>ведущий научный сотрудник</w:t>
      </w:r>
    </w:p>
    <w:p w:rsidR="00941C07" w:rsidRDefault="00391862" w:rsidP="00941C07">
      <w:pPr>
        <w:jc w:val="right"/>
        <w:rPr>
          <w:b/>
        </w:rPr>
      </w:pPr>
      <w:r>
        <w:rPr>
          <w:b/>
        </w:rPr>
        <w:t>У</w:t>
      </w:r>
      <w:r w:rsidR="003C4C53">
        <w:rPr>
          <w:b/>
        </w:rPr>
        <w:t xml:space="preserve">чреждения </w:t>
      </w:r>
      <w:r>
        <w:rPr>
          <w:b/>
        </w:rPr>
        <w:t>РАН Институт</w:t>
      </w:r>
      <w:r w:rsidR="00941C07">
        <w:rPr>
          <w:b/>
        </w:rPr>
        <w:t xml:space="preserve"> экономики РАН, </w:t>
      </w:r>
    </w:p>
    <w:p w:rsidR="00941C07" w:rsidRPr="00941C07" w:rsidRDefault="00941C07" w:rsidP="00941C07">
      <w:pPr>
        <w:jc w:val="right"/>
        <w:rPr>
          <w:b/>
        </w:rPr>
      </w:pPr>
      <w:r>
        <w:rPr>
          <w:b/>
        </w:rPr>
        <w:t>г. Москва</w:t>
      </w:r>
    </w:p>
    <w:p w:rsidR="00941C07" w:rsidRDefault="00941C07" w:rsidP="003370A7">
      <w:pPr>
        <w:spacing w:line="360" w:lineRule="auto"/>
        <w:jc w:val="center"/>
        <w:rPr>
          <w:b/>
        </w:rPr>
      </w:pPr>
    </w:p>
    <w:p w:rsidR="003370A7" w:rsidRDefault="003370A7" w:rsidP="003370A7">
      <w:pPr>
        <w:spacing w:line="360" w:lineRule="auto"/>
        <w:jc w:val="center"/>
      </w:pPr>
      <w:r w:rsidRPr="00B82BD3">
        <w:rPr>
          <w:b/>
        </w:rPr>
        <w:t>Выбор модели денежно-кредитной политики в России в условиях глобализации экономики</w:t>
      </w:r>
      <w:r w:rsidR="0085541E">
        <w:rPr>
          <w:rStyle w:val="a8"/>
          <w:b/>
        </w:rPr>
        <w:endnoteReference w:id="1"/>
      </w:r>
    </w:p>
    <w:p w:rsidR="003370A7" w:rsidRDefault="003370A7" w:rsidP="003370A7">
      <w:pPr>
        <w:spacing w:line="360" w:lineRule="auto"/>
        <w:jc w:val="center"/>
      </w:pPr>
    </w:p>
    <w:p w:rsidR="000D129E" w:rsidRDefault="00E6428B" w:rsidP="00CB4B07">
      <w:pPr>
        <w:jc w:val="both"/>
      </w:pPr>
      <w:r>
        <w:tab/>
        <w:t xml:space="preserve">1. </w:t>
      </w:r>
      <w:r w:rsidR="000D129E">
        <w:t xml:space="preserve">Финансовая глобализация характеризуется растущей открытостью национальных финансовых рынков по отношению друг к другу и формированием единого мирового финансового рынка. </w:t>
      </w:r>
    </w:p>
    <w:p w:rsidR="00E6428B" w:rsidRDefault="004F6FC5" w:rsidP="00CB4B07">
      <w:pPr>
        <w:ind w:firstLine="708"/>
        <w:jc w:val="both"/>
      </w:pPr>
      <w:r>
        <w:t>Она</w:t>
      </w:r>
      <w:r w:rsidR="000D129E">
        <w:t xml:space="preserve"> создает новые вызовы</w:t>
      </w:r>
      <w:r w:rsidR="00E6428B">
        <w:t xml:space="preserve"> для проведения </w:t>
      </w:r>
      <w:r w:rsidR="000D129E">
        <w:t xml:space="preserve">национальной </w:t>
      </w:r>
      <w:r w:rsidR="00E6428B">
        <w:t>денежно-кредитной политики:</w:t>
      </w:r>
    </w:p>
    <w:p w:rsidR="00E6428B" w:rsidRDefault="00E6428B" w:rsidP="00CB4B07">
      <w:pPr>
        <w:jc w:val="both"/>
      </w:pPr>
      <w:r>
        <w:tab/>
        <w:t xml:space="preserve">- </w:t>
      </w:r>
      <w:r w:rsidR="000D129E">
        <w:t xml:space="preserve">Проблему </w:t>
      </w:r>
      <w:r>
        <w:t>выбор</w:t>
      </w:r>
      <w:r w:rsidR="000D129E">
        <w:t>а</w:t>
      </w:r>
      <w:r>
        <w:t xml:space="preserve"> цели </w:t>
      </w:r>
      <w:r w:rsidR="000D129E">
        <w:t xml:space="preserve">денежно-кредитной </w:t>
      </w:r>
      <w:r>
        <w:t>политики</w:t>
      </w:r>
      <w:r w:rsidR="000D129E">
        <w:t xml:space="preserve">, учитывая, что в условиях свободного трансграничного движения капиталов денежные власти должны выбирать между проведением национальной денежно-кредитной политики и использованием режима </w:t>
      </w:r>
      <w:r w:rsidR="00794D2B">
        <w:t xml:space="preserve">фиксированного </w:t>
      </w:r>
      <w:r w:rsidR="000D129E">
        <w:t xml:space="preserve">валютного курса. </w:t>
      </w:r>
      <w:r w:rsidR="00CB4B07">
        <w:t xml:space="preserve">Большинство развитых стран и ряд стран с развивающимися рынками </w:t>
      </w:r>
      <w:r>
        <w:t>пере</w:t>
      </w:r>
      <w:r w:rsidR="00CB4B07">
        <w:t>шли</w:t>
      </w:r>
      <w:r>
        <w:t xml:space="preserve"> к режиму инфляционного таргетирования</w:t>
      </w:r>
      <w:r w:rsidR="00CB4B07">
        <w:t>, тогда как</w:t>
      </w:r>
      <w:r>
        <w:t xml:space="preserve"> </w:t>
      </w:r>
      <w:r w:rsidR="00CB4B07">
        <w:t>большинство развивающихся стран активно используют регулирование валютного курса (в явной форме – разновидностей режима фиксированного валютного курса или неявной – режима управляемого плавания)</w:t>
      </w:r>
      <w:r>
        <w:t>.</w:t>
      </w:r>
    </w:p>
    <w:p w:rsidR="00237C88" w:rsidRDefault="00237C88" w:rsidP="00CB4B07">
      <w:pPr>
        <w:jc w:val="both"/>
      </w:pPr>
      <w:r>
        <w:tab/>
        <w:t xml:space="preserve">- </w:t>
      </w:r>
      <w:r w:rsidR="00652834">
        <w:t>Растет зависимость</w:t>
      </w:r>
      <w:r>
        <w:t xml:space="preserve"> динамики инфляции </w:t>
      </w:r>
      <w:r w:rsidR="00652834">
        <w:t xml:space="preserve">на национальном уровне </w:t>
      </w:r>
      <w:r>
        <w:t>от глобальных факторов</w:t>
      </w:r>
      <w:r w:rsidR="00CC00E9">
        <w:t xml:space="preserve">: </w:t>
      </w:r>
      <w:r w:rsidR="00CC00E9" w:rsidRPr="00A92FB7">
        <w:t>растущего конкурентного давления</w:t>
      </w:r>
      <w:r w:rsidR="00C10FAE" w:rsidRPr="00A92FB7">
        <w:rPr>
          <w:lang w:val="en-US"/>
        </w:rPr>
        <w:t xml:space="preserve"> (</w:t>
      </w:r>
      <w:r w:rsidR="00C10FAE" w:rsidRPr="00A92FB7">
        <w:t>как прямого, так и опосредованного через издержки на заработную плату в силу открытия рынков стран с относительно дешевой рабочей силой)</w:t>
      </w:r>
      <w:r w:rsidR="00FC2E76">
        <w:t>;</w:t>
      </w:r>
      <w:r w:rsidR="00B06252" w:rsidRPr="00A92FB7">
        <w:t xml:space="preserve"> </w:t>
      </w:r>
      <w:r w:rsidR="00A92FB7" w:rsidRPr="00A92FB7">
        <w:t xml:space="preserve">разницы в уровне фактического и потенциального выпуска </w:t>
      </w:r>
      <w:r w:rsidR="00A92FB7" w:rsidRPr="00A92FB7">
        <w:rPr>
          <w:lang w:val="en-US"/>
        </w:rPr>
        <w:t>(output gap</w:t>
      </w:r>
      <w:r w:rsidR="00FC2E76">
        <w:t>) на глобальном уровне;</w:t>
      </w:r>
      <w:r w:rsidR="00A92FB7" w:rsidRPr="00A92FB7">
        <w:t xml:space="preserve"> </w:t>
      </w:r>
      <w:r w:rsidR="00B06252" w:rsidRPr="00A92FB7">
        <w:t>стремления денежных властей проводить более осторожную политику для привлечения иностранных инвесторов</w:t>
      </w:r>
      <w:r w:rsidR="003A3FCB">
        <w:t xml:space="preserve"> и др</w:t>
      </w:r>
      <w:r w:rsidR="00A92FB7" w:rsidRPr="00A92FB7">
        <w:t>.</w:t>
      </w:r>
      <w:r w:rsidR="00262F36">
        <w:rPr>
          <w:rStyle w:val="a8"/>
        </w:rPr>
        <w:endnoteReference w:id="2"/>
      </w:r>
      <w:r w:rsidR="00262F36">
        <w:t>.</w:t>
      </w:r>
      <w:r>
        <w:t xml:space="preserve"> </w:t>
      </w:r>
      <w:r w:rsidR="00652834">
        <w:t>В</w:t>
      </w:r>
      <w:r>
        <w:t xml:space="preserve"> 2000-е гг.</w:t>
      </w:r>
      <w:r w:rsidR="00652834">
        <w:t xml:space="preserve"> эти факторы действовали</w:t>
      </w:r>
      <w:r>
        <w:t xml:space="preserve"> главным образом в с</w:t>
      </w:r>
      <w:r w:rsidR="00652834">
        <w:t>торону понижения темпа инфляции</w:t>
      </w:r>
      <w:r>
        <w:t>.</w:t>
      </w:r>
      <w:r w:rsidR="00652834">
        <w:t xml:space="preserve"> Вместе с тем, следует отметить отдельн</w:t>
      </w:r>
      <w:r w:rsidR="00CC00E9">
        <w:t xml:space="preserve">ые периоды ускорения инфляции, особенно в развивающихся странах, под влиянием роста цен на энергоносители и на продовольствие на мировом рынке. </w:t>
      </w:r>
    </w:p>
    <w:p w:rsidR="00E6428B" w:rsidRDefault="00E6428B" w:rsidP="00CB4B07">
      <w:pPr>
        <w:jc w:val="both"/>
      </w:pPr>
      <w:r>
        <w:tab/>
        <w:t xml:space="preserve">- </w:t>
      </w:r>
      <w:r w:rsidR="00E133D2">
        <w:t>Усилилась</w:t>
      </w:r>
      <w:r w:rsidR="00C23F37">
        <w:t xml:space="preserve"> взаимосвязь</w:t>
      </w:r>
      <w:r>
        <w:t xml:space="preserve"> денежно-кредитной политики с динамикой финансовых рынков</w:t>
      </w:r>
      <w:r w:rsidR="00C23F37">
        <w:t xml:space="preserve"> как на национальном, так и на мировом уровне</w:t>
      </w:r>
      <w:r>
        <w:t>.</w:t>
      </w:r>
      <w:r w:rsidR="00C23F37">
        <w:t xml:space="preserve"> </w:t>
      </w:r>
      <w:r w:rsidR="00706D2F">
        <w:t xml:space="preserve">Для стран, финансовые системы которых основаны на финансовых рынках, это создало проблему использования инструментария денежно-кредитной политики, нацеленного в первую очередь на коммерческие банки. </w:t>
      </w:r>
      <w:r>
        <w:t xml:space="preserve"> </w:t>
      </w:r>
    </w:p>
    <w:p w:rsidR="00464D1F" w:rsidRPr="00FD7265" w:rsidRDefault="00464D1F" w:rsidP="00CB4B07">
      <w:pPr>
        <w:jc w:val="both"/>
      </w:pPr>
      <w:r>
        <w:tab/>
        <w:t xml:space="preserve">- </w:t>
      </w:r>
      <w:r w:rsidR="00C3401A">
        <w:t>Произошли изменения в трансмиссионных каналах</w:t>
      </w:r>
      <w:r>
        <w:t xml:space="preserve"> денежно-кредитной политики</w:t>
      </w:r>
      <w:r w:rsidR="00C3401A">
        <w:t xml:space="preserve">: </w:t>
      </w:r>
      <w:r w:rsidRPr="002765B6">
        <w:t>ослабл</w:t>
      </w:r>
      <w:r w:rsidR="00C3401A" w:rsidRPr="002765B6">
        <w:t>о</w:t>
      </w:r>
      <w:r w:rsidRPr="002765B6">
        <w:t xml:space="preserve"> знач</w:t>
      </w:r>
      <w:r w:rsidR="00C3401A" w:rsidRPr="002765B6">
        <w:t>ение</w:t>
      </w:r>
      <w:r w:rsidRPr="002765B6">
        <w:t xml:space="preserve"> процентного канала</w:t>
      </w:r>
      <w:r w:rsidR="00C3401A" w:rsidRPr="002765B6">
        <w:t xml:space="preserve"> в связи с постепенным выравниванием п</w:t>
      </w:r>
      <w:r w:rsidR="002765B6" w:rsidRPr="002765B6">
        <w:t>роцентных ставок между странами;</w:t>
      </w:r>
      <w:r w:rsidR="00C3401A" w:rsidRPr="002765B6">
        <w:t xml:space="preserve"> </w:t>
      </w:r>
      <w:r w:rsidR="002765B6" w:rsidRPr="002765B6">
        <w:t>возможно усиление канала, связанного с валютным курсом, но его действие может ограничиваться отсутствием явной связи между процентной ставкой и валютным курсом и наличием иных факторов, от которых зависит</w:t>
      </w:r>
      <w:r w:rsidRPr="002765B6">
        <w:t xml:space="preserve"> </w:t>
      </w:r>
      <w:r w:rsidR="002765B6" w:rsidRPr="002765B6">
        <w:t xml:space="preserve">валютный курс; в связи с наличием внешних источников финансирования ослабевает действие канала </w:t>
      </w:r>
      <w:r w:rsidR="002765B6" w:rsidRPr="00FD7265">
        <w:t>банковского кредитования</w:t>
      </w:r>
      <w:r w:rsidR="000846A2">
        <w:rPr>
          <w:rStyle w:val="a8"/>
        </w:rPr>
        <w:endnoteReference w:id="3"/>
      </w:r>
      <w:r w:rsidR="002765B6" w:rsidRPr="00FD7265">
        <w:t xml:space="preserve">. </w:t>
      </w:r>
      <w:r w:rsidR="00FD7265" w:rsidRPr="00FD7265">
        <w:t xml:space="preserve">В развивающихся странах </w:t>
      </w:r>
      <w:r w:rsidR="00FD7265">
        <w:t xml:space="preserve">дополнительные ограничения на проведение денежно-кредитной политики накладывает неформальная долларизация экономики. Тем не менее, пространство для независимой денежно-кредитной политики сохраняется. </w:t>
      </w:r>
    </w:p>
    <w:p w:rsidR="00E6428B" w:rsidRDefault="00E6428B" w:rsidP="00CB4B07">
      <w:pPr>
        <w:jc w:val="both"/>
      </w:pPr>
      <w:r>
        <w:tab/>
        <w:t xml:space="preserve">- </w:t>
      </w:r>
      <w:r w:rsidR="00541D4E">
        <w:t xml:space="preserve">Возросла </w:t>
      </w:r>
      <w:r>
        <w:t>подверженность</w:t>
      </w:r>
      <w:r w:rsidR="00541D4E">
        <w:t xml:space="preserve"> стран внешним финансовым кризисам в силу действия «</w:t>
      </w:r>
      <w:r>
        <w:t>эффект</w:t>
      </w:r>
      <w:r w:rsidR="00541D4E">
        <w:t>а заражения»</w:t>
      </w:r>
      <w:r>
        <w:t>.</w:t>
      </w:r>
      <w:r w:rsidR="00541D4E">
        <w:t xml:space="preserve"> Наиболее ярким примером стал современный мировой экономический кризис</w:t>
      </w:r>
      <w:r w:rsidR="00391BAD">
        <w:t>, который выявил недостатки используемого инструментария денежно-кредитной политики для решения поставленных перед ней задач</w:t>
      </w:r>
      <w:r w:rsidR="00541D4E">
        <w:t xml:space="preserve">.  </w:t>
      </w:r>
      <w:r>
        <w:t xml:space="preserve"> </w:t>
      </w:r>
    </w:p>
    <w:p w:rsidR="00E6428B" w:rsidRDefault="00E6428B" w:rsidP="00CB4B07">
      <w:pPr>
        <w:jc w:val="center"/>
      </w:pPr>
    </w:p>
    <w:p w:rsidR="00501D78" w:rsidRDefault="000059FE" w:rsidP="00CB4B07">
      <w:pPr>
        <w:jc w:val="both"/>
      </w:pPr>
      <w:r>
        <w:tab/>
        <w:t>2</w:t>
      </w:r>
      <w:r w:rsidR="003370A7">
        <w:t xml:space="preserve">. </w:t>
      </w:r>
      <w:r w:rsidR="00501D78">
        <w:t>В период рыночной трансформации произошел рост степени открытости российской экономики по отношению к трансграничным потокам капитала (см. график).</w:t>
      </w:r>
    </w:p>
    <w:p w:rsidR="00B225BE" w:rsidRDefault="00B225BE" w:rsidP="00CB4B07">
      <w:pPr>
        <w:jc w:val="both"/>
      </w:pPr>
    </w:p>
    <w:p w:rsidR="00B225BE" w:rsidRPr="00B225BE" w:rsidRDefault="00B225BE" w:rsidP="00B225BE">
      <w:pPr>
        <w:jc w:val="right"/>
        <w:rPr>
          <w:i/>
        </w:rPr>
      </w:pPr>
      <w:r>
        <w:rPr>
          <w:i/>
        </w:rPr>
        <w:t xml:space="preserve">График </w:t>
      </w:r>
    </w:p>
    <w:p w:rsidR="007B509D" w:rsidRDefault="00920C16" w:rsidP="00CB4B07">
      <w:pPr>
        <w:jc w:val="both"/>
      </w:pPr>
      <w:r>
        <w:object w:dxaOrig="9345" w:dyaOrig="51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257.25pt" o:ole="">
            <v:imagedata r:id="rId7" o:title=""/>
          </v:shape>
          <o:OLEObject Type="Embed" ProgID="Excel.Sheet.8" ShapeID="_x0000_i1025" DrawAspect="Content" ObjectID="_1470206966" r:id="rId8">
            <o:FieldCodes>\s</o:FieldCodes>
          </o:OLEObject>
        </w:object>
      </w:r>
    </w:p>
    <w:p w:rsidR="007B509D" w:rsidRDefault="007B509D" w:rsidP="00CB4B07">
      <w:pPr>
        <w:jc w:val="both"/>
      </w:pPr>
    </w:p>
    <w:p w:rsidR="00920C16" w:rsidRPr="00920C16" w:rsidRDefault="00920C16" w:rsidP="00CB4B07">
      <w:pPr>
        <w:jc w:val="both"/>
      </w:pPr>
      <w:r>
        <w:tab/>
      </w:r>
      <w:r>
        <w:rPr>
          <w:i/>
        </w:rPr>
        <w:t xml:space="preserve">Источник: </w:t>
      </w:r>
      <w:r>
        <w:t xml:space="preserve">расчеты автора на основе данных </w:t>
      </w:r>
      <w:r>
        <w:rPr>
          <w:lang w:val="en-US"/>
        </w:rPr>
        <w:t xml:space="preserve">International Financial Statistics. </w:t>
      </w:r>
      <w:smartTag w:uri="urn:schemas-microsoft-com:office:smarttags" w:element="place">
        <w:smartTag w:uri="urn:schemas-microsoft-com:office:smarttags" w:element="City">
          <w:r>
            <w:rPr>
              <w:lang w:val="en-US"/>
            </w:rPr>
            <w:t>Washington</w:t>
          </w:r>
        </w:smartTag>
        <w:r>
          <w:rPr>
            <w:lang w:val="en-US"/>
          </w:rPr>
          <w:t xml:space="preserve"> </w:t>
        </w:r>
        <w:smartTag w:uri="urn:schemas-microsoft-com:office:smarttags" w:element="State">
          <w:r>
            <w:rPr>
              <w:lang w:val="en-US"/>
            </w:rPr>
            <w:t>DC</w:t>
          </w:r>
        </w:smartTag>
      </w:smartTag>
      <w:r>
        <w:rPr>
          <w:lang w:val="en-US"/>
        </w:rPr>
        <w:t>: IMF. Different issues</w:t>
      </w:r>
      <w:r>
        <w:t>.</w:t>
      </w:r>
    </w:p>
    <w:p w:rsidR="00920C16" w:rsidRDefault="00920C16" w:rsidP="00CB4B07">
      <w:pPr>
        <w:jc w:val="both"/>
      </w:pPr>
    </w:p>
    <w:p w:rsidR="003370A7" w:rsidRDefault="00501D78" w:rsidP="00920C16">
      <w:pPr>
        <w:ind w:firstLine="708"/>
        <w:jc w:val="both"/>
      </w:pPr>
      <w:r>
        <w:t xml:space="preserve">Однако тенденция к повышению роли трансграничного движения капиталов в российской экономике не была однонаправленной. </w:t>
      </w:r>
      <w:r w:rsidR="00E70FDC">
        <w:t>Можно выделить несколько этапов по степени</w:t>
      </w:r>
      <w:r w:rsidR="003370A7">
        <w:t xml:space="preserve"> открытости </w:t>
      </w:r>
      <w:r w:rsidR="00E70FDC">
        <w:t>финансовой</w:t>
      </w:r>
      <w:r w:rsidR="003370A7">
        <w:t xml:space="preserve"> системы России</w:t>
      </w:r>
      <w:r w:rsidR="00E70FDC">
        <w:t xml:space="preserve">: </w:t>
      </w:r>
    </w:p>
    <w:p w:rsidR="009A72FD" w:rsidRDefault="009A72FD" w:rsidP="00C43032">
      <w:pPr>
        <w:jc w:val="both"/>
      </w:pPr>
      <w:r>
        <w:tab/>
      </w:r>
      <w:r w:rsidR="00E70FDC">
        <w:t>1</w:t>
      </w:r>
      <w:r w:rsidR="0035496B">
        <w:t xml:space="preserve">) </w:t>
      </w:r>
      <w:r w:rsidR="00E70FDC">
        <w:t>Рост степени открытости в 1990-е гг. (до кризиса 1998 г.). Ф</w:t>
      </w:r>
      <w:r>
        <w:t xml:space="preserve">инансовый счет </w:t>
      </w:r>
      <w:r w:rsidR="00E70FDC">
        <w:t xml:space="preserve">платежного баланса </w:t>
      </w:r>
      <w:r>
        <w:t>устойчиво (за исключением 1997 г.</w:t>
      </w:r>
      <w:r w:rsidR="00E70FDC">
        <w:rPr>
          <w:rStyle w:val="a8"/>
        </w:rPr>
        <w:endnoteReference w:id="4"/>
      </w:r>
      <w:r>
        <w:t xml:space="preserve">) </w:t>
      </w:r>
      <w:r w:rsidR="00E70FDC">
        <w:t xml:space="preserve">сводился с отрицательным сальдо, </w:t>
      </w:r>
      <w:r w:rsidR="0035496B">
        <w:t>наблюдалось бегство капитала из страны.</w:t>
      </w:r>
      <w:r w:rsidR="00C43032">
        <w:t xml:space="preserve"> В</w:t>
      </w:r>
      <w:r w:rsidR="0035496B">
        <w:t>нутри страны развивались процессы долларизации экономики</w:t>
      </w:r>
      <w:r w:rsidR="00C43032">
        <w:t xml:space="preserve">, однако </w:t>
      </w:r>
      <w:r w:rsidR="00F859A6">
        <w:t>в 1995 г.</w:t>
      </w:r>
      <w:r w:rsidR="0035496B">
        <w:t xml:space="preserve"> </w:t>
      </w:r>
      <w:r w:rsidR="00C43032">
        <w:t xml:space="preserve">степень долларизации, измеренная по депозитам в иностранной валюте в национальной банковской системе, </w:t>
      </w:r>
      <w:r w:rsidR="00F859A6">
        <w:t>резко снизи</w:t>
      </w:r>
      <w:r w:rsidR="00C43032">
        <w:t>лась</w:t>
      </w:r>
      <w:r w:rsidR="00F859A6">
        <w:t xml:space="preserve"> (с 34 до 20%</w:t>
      </w:r>
      <w:r w:rsidR="008B7170">
        <w:rPr>
          <w:lang w:val="en-US"/>
        </w:rPr>
        <w:t xml:space="preserve"> </w:t>
      </w:r>
      <w:r w:rsidR="008B7170">
        <w:t>от денежной массы в широком смысле</w:t>
      </w:r>
      <w:r w:rsidR="00F859A6">
        <w:t>) и затем стабилизировалась (на уровне 16-20%)</w:t>
      </w:r>
      <w:r w:rsidR="00C43032">
        <w:t>.</w:t>
      </w:r>
      <w:r w:rsidR="0035496B">
        <w:t xml:space="preserve"> </w:t>
      </w:r>
      <w:r w:rsidR="00F859A6">
        <w:t>Происходило н</w:t>
      </w:r>
      <w:r w:rsidR="000513C3">
        <w:t>акопление внешнего государственного долга на фоне значительного внешнего долга, унаследованного от бывшего СССР.</w:t>
      </w:r>
      <w:r w:rsidR="00A215C3">
        <w:tab/>
      </w:r>
    </w:p>
    <w:p w:rsidR="00F818E9" w:rsidRDefault="0035496B" w:rsidP="00CB4B07">
      <w:pPr>
        <w:ind w:firstLine="708"/>
        <w:jc w:val="both"/>
      </w:pPr>
      <w:r>
        <w:t xml:space="preserve">2) </w:t>
      </w:r>
      <w:r w:rsidR="00C43032">
        <w:t>Кризис 1998 г. и посткризисный период (1999-2000 гг.). Степень открытости оставалась относительно высокой, но обеспечивалась в основном значительным оттоком капитала заграницу.</w:t>
      </w:r>
      <w:r w:rsidR="00067503">
        <w:t xml:space="preserve"> Резко возросл</w:t>
      </w:r>
      <w:r w:rsidR="000513C3">
        <w:t>и</w:t>
      </w:r>
      <w:r w:rsidR="00067503">
        <w:t xml:space="preserve"> </w:t>
      </w:r>
      <w:r w:rsidR="000513C3">
        <w:t>внешнедолговая нагрузка на экономику</w:t>
      </w:r>
      <w:r w:rsidR="00697B49">
        <w:t xml:space="preserve"> (до 90% ВВП в 1999 г.)</w:t>
      </w:r>
      <w:r w:rsidR="000513C3">
        <w:t xml:space="preserve"> и </w:t>
      </w:r>
      <w:r w:rsidR="00067503">
        <w:t xml:space="preserve">степень долларизации </w:t>
      </w:r>
      <w:r w:rsidR="00697B49">
        <w:t xml:space="preserve">(до 30-32% со второй половины 1998 г. по первую половину 2000 г.) </w:t>
      </w:r>
      <w:r w:rsidR="00067503">
        <w:t xml:space="preserve">в первую очередь под влиянием эффекта девальвации. </w:t>
      </w:r>
    </w:p>
    <w:p w:rsidR="00C43032" w:rsidRDefault="00C43032" w:rsidP="00CB4B07">
      <w:pPr>
        <w:ind w:firstLine="708"/>
        <w:jc w:val="both"/>
      </w:pPr>
      <w:r>
        <w:t>3) Снижение открытости российской экономики в связи с закрытием для нее мировых финансовых рынков (2001-2002 гг.).</w:t>
      </w:r>
      <w:r w:rsidR="00067503">
        <w:t xml:space="preserve"> </w:t>
      </w:r>
      <w:r w:rsidR="000513C3">
        <w:t>Стабилизация процессов долларизации внутри страны</w:t>
      </w:r>
      <w:r w:rsidR="00F859A6">
        <w:t xml:space="preserve"> (степень долларизации – 25-30%)</w:t>
      </w:r>
      <w:r w:rsidR="000513C3">
        <w:t xml:space="preserve">. </w:t>
      </w:r>
      <w:r>
        <w:t xml:space="preserve"> </w:t>
      </w:r>
    </w:p>
    <w:p w:rsidR="00C43032" w:rsidRDefault="00C43032" w:rsidP="00CB4B07">
      <w:pPr>
        <w:ind w:firstLine="708"/>
        <w:jc w:val="both"/>
      </w:pPr>
      <w:r>
        <w:t>4) Восстановление показателей открытости экономики до кризиса 1998 г. и их резкий рост в 2007 г.</w:t>
      </w:r>
      <w:r w:rsidR="000513C3">
        <w:t xml:space="preserve"> (2003-2007 гг.). Финансовый счет до 2007 г. был относительно сбалансирован</w:t>
      </w:r>
      <w:r w:rsidR="00220D2B">
        <w:t>, в 2007 г. он был сведен со значительным положительным сальдо</w:t>
      </w:r>
      <w:r w:rsidR="000513C3">
        <w:t>.</w:t>
      </w:r>
      <w:r w:rsidR="00045CE3">
        <w:t xml:space="preserve"> Происходило наращивание корпоративной внешней задолженности</w:t>
      </w:r>
      <w:r w:rsidR="00D47868">
        <w:t>, однако на фоне снижения государственного долга отношение государственного долга к ВВП снижалось</w:t>
      </w:r>
      <w:r w:rsidR="00045CE3">
        <w:t xml:space="preserve">. </w:t>
      </w:r>
      <w:r w:rsidR="000513C3">
        <w:t xml:space="preserve">Внутри экономики начала снижаться степень долларизации как по депозитам, так и по наличной иностранной валюте. </w:t>
      </w:r>
    </w:p>
    <w:p w:rsidR="00C43032" w:rsidRDefault="00C43032" w:rsidP="00CB4B07">
      <w:pPr>
        <w:ind w:firstLine="708"/>
        <w:jc w:val="both"/>
      </w:pPr>
      <w:r>
        <w:t>5) Период распространения мирового экономического и финансового кризиса на российскую экономику (2008-2009 гг.).</w:t>
      </w:r>
      <w:r w:rsidR="00D47868">
        <w:t xml:space="preserve"> Основной его особенностью стал значительный отток капитала из страны (с третьего квартала 2008 г. по третий квартал 2009 г. чистый отток капитала по линии частного сектора превысил 210 млрд. долл.). </w:t>
      </w:r>
      <w:r w:rsidR="004D4D9F">
        <w:t xml:space="preserve">Возобновились процессы долларизации экономики. </w:t>
      </w:r>
    </w:p>
    <w:p w:rsidR="0035496B" w:rsidRDefault="0035496B" w:rsidP="00CB4B07">
      <w:pPr>
        <w:ind w:firstLine="708"/>
        <w:jc w:val="both"/>
      </w:pPr>
    </w:p>
    <w:p w:rsidR="00133F3F" w:rsidRDefault="000059FE" w:rsidP="00CB4B07">
      <w:pPr>
        <w:jc w:val="both"/>
      </w:pPr>
      <w:r>
        <w:tab/>
        <w:t>3</w:t>
      </w:r>
      <w:r w:rsidR="003370A7">
        <w:t xml:space="preserve">. </w:t>
      </w:r>
      <w:r w:rsidR="000515E0">
        <w:t>В</w:t>
      </w:r>
      <w:r w:rsidR="003370A7">
        <w:t xml:space="preserve"> условиях глобализации</w:t>
      </w:r>
      <w:r w:rsidR="000515E0">
        <w:t xml:space="preserve"> денежно-кредитная политика России столкнулась с новыми вызовами</w:t>
      </w:r>
      <w:r w:rsidR="003370A7">
        <w:t>.</w:t>
      </w:r>
      <w:r w:rsidR="000515E0">
        <w:t xml:space="preserve"> </w:t>
      </w:r>
    </w:p>
    <w:p w:rsidR="003370A7" w:rsidRDefault="002639D0" w:rsidP="00133F3F">
      <w:pPr>
        <w:ind w:firstLine="708"/>
        <w:jc w:val="both"/>
      </w:pPr>
      <w:r>
        <w:t>Двумя</w:t>
      </w:r>
      <w:r w:rsidR="00DD3409">
        <w:t xml:space="preserve"> основными </w:t>
      </w:r>
      <w:r>
        <w:t xml:space="preserve">внешними </w:t>
      </w:r>
      <w:r w:rsidR="00DD3409">
        <w:t>вызовами</w:t>
      </w:r>
      <w:r>
        <w:t xml:space="preserve"> для российской экономики</w:t>
      </w:r>
      <w:r w:rsidR="00DD3409">
        <w:t xml:space="preserve"> являются волатильность цен на нефть</w:t>
      </w:r>
      <w:r>
        <w:t xml:space="preserve"> и потоков капитала</w:t>
      </w:r>
      <w:r w:rsidR="00DD3409">
        <w:t xml:space="preserve">. При этом </w:t>
      </w:r>
      <w:r w:rsidR="00C100EC">
        <w:t>динамика цен на нефть и потоков капитала в страну, как правило, действуют в одном направлении, особенно ярко это проявляется в случае падения цен на нефть</w:t>
      </w:r>
      <w:r w:rsidR="002A2891">
        <w:t xml:space="preserve">. </w:t>
      </w:r>
    </w:p>
    <w:p w:rsidR="00595AF1" w:rsidRDefault="00595AF1" w:rsidP="00CB4B07">
      <w:pPr>
        <w:jc w:val="both"/>
      </w:pPr>
      <w:r>
        <w:tab/>
      </w:r>
      <w:r w:rsidR="000E78E5">
        <w:t xml:space="preserve">Основной формой притока иностранного капитала, когда он активно поступал в российскую экономику, были либо портфельные инвестиции (1997 г.), либо прочие инвестиции (кредиты) (2003-2007 гг.), т.е. </w:t>
      </w:r>
      <w:r w:rsidR="00635729">
        <w:t>волатильные компоненты</w:t>
      </w:r>
      <w:r w:rsidR="000E78E5">
        <w:t>.</w:t>
      </w:r>
      <w:r>
        <w:t xml:space="preserve"> </w:t>
      </w:r>
    </w:p>
    <w:p w:rsidR="0037751D" w:rsidRDefault="0037751D" w:rsidP="00CB4B07">
      <w:pPr>
        <w:jc w:val="both"/>
      </w:pPr>
      <w:r>
        <w:tab/>
        <w:t>Ответом на сложившиеся вызовы была политика Центрального банка России, направленная на активное регулирование</w:t>
      </w:r>
      <w:r w:rsidR="00822651">
        <w:t xml:space="preserve"> и таргетирование</w:t>
      </w:r>
      <w:r>
        <w:t xml:space="preserve"> валютного курса в явном (1995 – первая половина 1998 гг.) и неявном (2000-2009 гг.) виде. </w:t>
      </w:r>
    </w:p>
    <w:p w:rsidR="00522228" w:rsidRDefault="00FD7265" w:rsidP="00CB4B07">
      <w:pPr>
        <w:jc w:val="both"/>
      </w:pPr>
      <w:r>
        <w:tab/>
      </w:r>
      <w:r w:rsidR="00522228">
        <w:t xml:space="preserve">Применение режима валютного коридора во второй половине 1990-х гг. позволило снизить темп инфляции, но в сочетании со снятием ряда валютных ограничений увеличило внешние риски, стимулируя приток краткосрочного иностранного капитала. </w:t>
      </w:r>
    </w:p>
    <w:p w:rsidR="00FD7265" w:rsidRDefault="00522228" w:rsidP="00CB4B07">
      <w:pPr>
        <w:jc w:val="both"/>
      </w:pPr>
      <w:r>
        <w:tab/>
      </w:r>
      <w:r w:rsidR="002A6B01">
        <w:t>В 2000-е гг. происходило постепенное ослабление регулировани</w:t>
      </w:r>
      <w:r w:rsidR="000A4FF6">
        <w:t>я</w:t>
      </w:r>
      <w:r w:rsidR="002A6B01">
        <w:t xml:space="preserve"> валютного курса рубля</w:t>
      </w:r>
      <w:r w:rsidR="006E62A5">
        <w:t xml:space="preserve"> (в том числе в форме перехода к регулированию курса рубля относительно бивалютной корзины)</w:t>
      </w:r>
      <w:r w:rsidR="002A6B01">
        <w:t xml:space="preserve">. </w:t>
      </w:r>
      <w:r w:rsidR="00C401B6">
        <w:t>Валютная либерализация середины 2000-х гг.</w:t>
      </w:r>
      <w:r w:rsidR="008975B2">
        <w:t xml:space="preserve"> </w:t>
      </w:r>
      <w:r w:rsidR="00C401B6">
        <w:t>н</w:t>
      </w:r>
      <w:r w:rsidR="006F7092">
        <w:t>аряду с устойчивой тенденцией к росту номинального и реального курса рубля способствовала притоку спекулятивного иностранного капитала.</w:t>
      </w:r>
      <w:r w:rsidR="002F2FBA">
        <w:t xml:space="preserve"> Отток портфельных инвестиций летом 2008 г. стал одним из катализаторов российского кризиса, а наличие значительного уровня корпоративной внешней задолженности (</w:t>
      </w:r>
      <w:r w:rsidR="006E62A5">
        <w:t>около 497</w:t>
      </w:r>
      <w:r w:rsidR="002F2FBA">
        <w:t xml:space="preserve"> млрд. долл. на 1 июля 2008 г.) осложнило его протекание. </w:t>
      </w:r>
      <w:r w:rsidR="006F7092">
        <w:t xml:space="preserve"> </w:t>
      </w:r>
      <w:r>
        <w:t xml:space="preserve"> </w:t>
      </w:r>
    </w:p>
    <w:p w:rsidR="00E33428" w:rsidRDefault="00E33428" w:rsidP="00CB4B07">
      <w:pPr>
        <w:jc w:val="both"/>
      </w:pPr>
      <w:r>
        <w:tab/>
      </w:r>
      <w:r w:rsidR="00525AF7">
        <w:t>Еще одним в</w:t>
      </w:r>
      <w:r>
        <w:t>ызов</w:t>
      </w:r>
      <w:r w:rsidR="00525AF7">
        <w:t>ом</w:t>
      </w:r>
      <w:r>
        <w:t xml:space="preserve"> </w:t>
      </w:r>
      <w:r w:rsidR="00525AF7">
        <w:t>стала</w:t>
      </w:r>
      <w:r>
        <w:t xml:space="preserve"> борьба с финансовыми кризисами, имеющими внешнюю природу</w:t>
      </w:r>
      <w:r w:rsidR="00734AA0">
        <w:t xml:space="preserve"> или связанными со значительными внешними шоками</w:t>
      </w:r>
      <w:r>
        <w:t>. Если кризис 1998 г. носил внутренний характер, но был отягощен внешними шоками (бегство инвесторов под воздействием азиатского кризиса, знач</w:t>
      </w:r>
      <w:r w:rsidR="00046672">
        <w:t>ительная внешнедолговая нагрузка и долларизация экономики</w:t>
      </w:r>
      <w:r>
        <w:t xml:space="preserve">), то кризис 2008 г. имел внешнюю природу. </w:t>
      </w:r>
    </w:p>
    <w:p w:rsidR="00341418" w:rsidRPr="00DD3409" w:rsidRDefault="00341418" w:rsidP="00CB4B07">
      <w:pPr>
        <w:jc w:val="both"/>
      </w:pPr>
      <w:r>
        <w:tab/>
        <w:t>Реакция денежно-кредитной политики на кризис 2008-2009 гг. шла по двум основным направлениям: оказание помощи банковской системе и регулирование динамики валютного курса</w:t>
      </w:r>
      <w:r w:rsidR="006835AC">
        <w:t xml:space="preserve">, которые предполагали набор мер с во многом противоположными результатами. Де факто основным было направление, связанное с регулированием валютного курса, выразившееся в значительном сокращении денежной массы (вследствие проведения валютных интервенций) осенью-зимой 2008-2009 гг. </w:t>
      </w:r>
      <w:r w:rsidR="00626935">
        <w:t>На наш взгляд, издержки денежно-кредитной политики по борьбе с кризисом могли бы быть снижены в случае применения валютных ограничений (как это было сделано в случае кризиса 1998 г.)</w:t>
      </w:r>
      <w:r w:rsidR="000A4FF6">
        <w:rPr>
          <w:rStyle w:val="a8"/>
        </w:rPr>
        <w:endnoteReference w:id="5"/>
      </w:r>
      <w:r w:rsidR="00626935">
        <w:t xml:space="preserve">. </w:t>
      </w:r>
    </w:p>
    <w:p w:rsidR="00E04517" w:rsidRPr="006F0BB8" w:rsidRDefault="000059FE" w:rsidP="00CB4B07">
      <w:pPr>
        <w:jc w:val="both"/>
      </w:pPr>
      <w:r>
        <w:tab/>
      </w:r>
      <w:r w:rsidR="00E04517">
        <w:t xml:space="preserve"> </w:t>
      </w:r>
    </w:p>
    <w:p w:rsidR="003370A7" w:rsidRDefault="000059FE" w:rsidP="00CB4B07">
      <w:pPr>
        <w:jc w:val="both"/>
      </w:pPr>
      <w:r>
        <w:tab/>
      </w:r>
      <w:r w:rsidR="00CC36BC">
        <w:t>4</w:t>
      </w:r>
      <w:r w:rsidR="003370A7">
        <w:t xml:space="preserve">. Выбор модели на перспективу. </w:t>
      </w:r>
    </w:p>
    <w:p w:rsidR="00DA385D" w:rsidRDefault="002F0267" w:rsidP="00DA385D">
      <w:pPr>
        <w:jc w:val="both"/>
      </w:pPr>
      <w:r>
        <w:tab/>
      </w:r>
      <w:r w:rsidR="00DA385D">
        <w:t xml:space="preserve">Основная дискуссия ведется между моделями регулирования валютного курса и инфляционного таргетирования. </w:t>
      </w:r>
      <w:r w:rsidR="00B32251">
        <w:t>Введение инфляционного таргетирования представляется спорным, поскольку не доказана связь между экономическим ростом и низким темпом инфляции (эта взаимосвязь прослеживается лишь для умеренной инфляции). Кроме того, в России инфляция в значительной степени определяется немонетарными и внешними факторами</w:t>
      </w:r>
      <w:r w:rsidR="00DF03DD">
        <w:t>; национальная финансовая система зависит от притока иностранного капитала и отсутствуют полностью работающие трансмиссионные механизмы денежно-кредитной политики</w:t>
      </w:r>
      <w:r w:rsidR="00E2072B">
        <w:rPr>
          <w:rStyle w:val="a8"/>
        </w:rPr>
        <w:endnoteReference w:id="6"/>
      </w:r>
      <w:r w:rsidR="00B32251">
        <w:t xml:space="preserve">. </w:t>
      </w:r>
    </w:p>
    <w:p w:rsidR="004A51DB" w:rsidRDefault="00CF3C1D" w:rsidP="004A51DB">
      <w:pPr>
        <w:ind w:firstLine="708"/>
        <w:jc w:val="both"/>
      </w:pPr>
      <w:r>
        <w:t xml:space="preserve">Валютный курс является </w:t>
      </w:r>
      <w:r w:rsidR="0012339B">
        <w:t>чувствительным</w:t>
      </w:r>
      <w:r>
        <w:t xml:space="preserve"> макроэкономическим индикатором</w:t>
      </w:r>
      <w:r w:rsidR="0012339B">
        <w:t xml:space="preserve"> с точки зрения оценки доверия населения к политике властей</w:t>
      </w:r>
      <w:r>
        <w:t xml:space="preserve">. </w:t>
      </w:r>
      <w:r w:rsidR="00A72BBD">
        <w:t xml:space="preserve">Кроме того, его регулирование играет важную роль с точки зрения </w:t>
      </w:r>
      <w:r w:rsidR="009F678B">
        <w:t>влияния на динамику</w:t>
      </w:r>
      <w:r w:rsidR="00A72BBD">
        <w:t xml:space="preserve"> внешней торговли и ее структуры</w:t>
      </w:r>
      <w:r w:rsidR="00E303C9">
        <w:t xml:space="preserve"> (поскольку экспорт энергоносителей в меньшей степени чувствителен к валютному курсу)</w:t>
      </w:r>
      <w:r w:rsidR="00A72BBD">
        <w:t>.</w:t>
      </w:r>
      <w:r w:rsidR="00E303C9">
        <w:t xml:space="preserve"> Однако, регулирование валютного курса ограничивает возможност</w:t>
      </w:r>
      <w:r w:rsidR="00C401B6">
        <w:t>и</w:t>
      </w:r>
      <w:r w:rsidR="00E303C9">
        <w:t xml:space="preserve"> </w:t>
      </w:r>
      <w:r w:rsidR="00ED5719">
        <w:t>использования</w:t>
      </w:r>
      <w:r w:rsidR="00E303C9">
        <w:t xml:space="preserve"> других целей денежно-кредитной политики. </w:t>
      </w:r>
      <w:r w:rsidR="00A72BBD">
        <w:t xml:space="preserve"> </w:t>
      </w:r>
    </w:p>
    <w:p w:rsidR="00522446" w:rsidRDefault="00522446" w:rsidP="00947903">
      <w:pPr>
        <w:jc w:val="both"/>
      </w:pPr>
      <w:r>
        <w:tab/>
        <w:t xml:space="preserve">На наш взгляд, таргетирование какого-либо одного показателя в условиях значительного уровня внешней открытости вряд ли приведет к успешным результатам, поэтому было бы целесообразным установить некоторые допустимые диапазоны отклонений основных макроэкономических показателей, на которые может воздействовать денежно-кредитная политика, со сменой акцентов между ними в зависимости от текущих условий. То есть речь идет об относительно ограниченном режиме дискреционной денежно-кредитной политики. </w:t>
      </w:r>
      <w:r w:rsidR="009277B7">
        <w:t>В</w:t>
      </w:r>
      <w:r>
        <w:t xml:space="preserve"> российских условиях в числе подобных показателей должны находиться </w:t>
      </w:r>
      <w:r w:rsidRPr="00E7590A">
        <w:t>темп инфляции, валютный курс, ставка процента, темп экономического роста</w:t>
      </w:r>
      <w:r w:rsidR="00E7590A">
        <w:t xml:space="preserve"> и, возможно, ряд иных показателей.</w:t>
      </w:r>
      <w:r w:rsidR="0012339B">
        <w:t xml:space="preserve"> Для предотвращения рисков значительных эффектов заражения от внешних шоков целесообразно введение ряда валютных ограничений, направленных на сокращение спекулятивного притока капитала. </w:t>
      </w:r>
      <w:r w:rsidR="00881E1A">
        <w:t xml:space="preserve">Важным предварительным условием повышения эффективности денежно-кредитной политики является развитие национальной финансовой системы (банковской системы и финансовых рынков) с основной опорой на национальных инвесторов. </w:t>
      </w:r>
      <w:r w:rsidR="00E7590A">
        <w:t xml:space="preserve"> </w:t>
      </w:r>
      <w:r>
        <w:t xml:space="preserve">  </w:t>
      </w:r>
    </w:p>
    <w:p w:rsidR="00B526CE" w:rsidRDefault="00B526CE" w:rsidP="00CB4B07">
      <w:bookmarkStart w:id="0" w:name="_GoBack"/>
      <w:bookmarkEnd w:id="0"/>
    </w:p>
    <w:sectPr w:rsidR="00B526CE" w:rsidSect="006860FD">
      <w:footerReference w:type="even" r:id="rId9"/>
      <w:footerReference w:type="default" r:id="rId10"/>
      <w:endnotePr>
        <w:numFmt w:val="decimal"/>
      </w:endnotePr>
      <w:pgSz w:w="11906" w:h="16838"/>
      <w:pgMar w:top="1701" w:right="85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36AF" w:rsidRDefault="009036AF">
      <w:r>
        <w:separator/>
      </w:r>
    </w:p>
  </w:endnote>
  <w:endnote w:type="continuationSeparator" w:id="0">
    <w:p w:rsidR="009036AF" w:rsidRDefault="009036AF">
      <w:r>
        <w:continuationSeparator/>
      </w:r>
    </w:p>
  </w:endnote>
  <w:endnote w:id="1">
    <w:p w:rsidR="003C4C53" w:rsidRDefault="003C4C53" w:rsidP="000A4FF6">
      <w:pPr>
        <w:pStyle w:val="a3"/>
        <w:jc w:val="both"/>
      </w:pPr>
      <w:r w:rsidRPr="00FD3CD9">
        <w:rPr>
          <w:rStyle w:val="a8"/>
        </w:rPr>
        <w:endnoteRef/>
      </w:r>
      <w:r w:rsidRPr="00FD3CD9">
        <w:t xml:space="preserve"> Доклад подготовлен на основе исследования, осуществленного при финансовой поддержке РГНФ в рамках совместного научно-исследовательского проекта РГНФ и НАН Украины «Денежно-кредитная политика России и Украины на современном этапе: новые вызовы и возможные ответы», проект №08-02-91205 </w:t>
      </w:r>
      <w:r w:rsidRPr="00FD3CD9">
        <w:rPr>
          <w:lang w:val="en-US"/>
        </w:rPr>
        <w:t>a</w:t>
      </w:r>
      <w:r w:rsidRPr="00FD3CD9">
        <w:t>/</w:t>
      </w:r>
      <w:r w:rsidRPr="00FD3CD9">
        <w:rPr>
          <w:lang w:val="en-US"/>
        </w:rPr>
        <w:t>U</w:t>
      </w:r>
      <w:r>
        <w:t>.</w:t>
      </w:r>
    </w:p>
  </w:endnote>
  <w:endnote w:id="2">
    <w:p w:rsidR="003C4C53" w:rsidRPr="00277525" w:rsidRDefault="003C4C53">
      <w:pPr>
        <w:pStyle w:val="a7"/>
      </w:pPr>
      <w:r w:rsidRPr="00262F36">
        <w:rPr>
          <w:rStyle w:val="a8"/>
        </w:rPr>
        <w:endnoteRef/>
      </w:r>
      <w:r w:rsidRPr="00262F36">
        <w:t xml:space="preserve"> </w:t>
      </w:r>
      <w:r w:rsidRPr="00262F36">
        <w:rPr>
          <w:lang w:val="en-US"/>
        </w:rPr>
        <w:t>Rybinski K. Globalisation and its implications for monetary po</w:t>
      </w:r>
      <w:r>
        <w:rPr>
          <w:lang w:val="en-US"/>
        </w:rPr>
        <w:t>licy // BIS Review. 2006. No 32</w:t>
      </w:r>
      <w:r>
        <w:t xml:space="preserve">; </w:t>
      </w:r>
      <w:r w:rsidRPr="00277525">
        <w:rPr>
          <w:lang w:val="en-US"/>
        </w:rPr>
        <w:t xml:space="preserve">Kohn D.L. Globalization, inflation and monetary policy // Remarks </w:t>
      </w:r>
      <w:r w:rsidRPr="00277525">
        <w:rPr>
          <w:bCs/>
          <w:lang w:val="en-US"/>
        </w:rPr>
        <w:t xml:space="preserve">at the James R. Wilson Lecture Series. The </w:t>
      </w:r>
      <w:smartTag w:uri="urn:schemas-microsoft-com:office:smarttags" w:element="place">
        <w:smartTag w:uri="urn:schemas-microsoft-com:office:smarttags" w:element="PlaceType">
          <w:r w:rsidRPr="00277525">
            <w:rPr>
              <w:bCs/>
              <w:lang w:val="en-US"/>
            </w:rPr>
            <w:t>College</w:t>
          </w:r>
        </w:smartTag>
        <w:r w:rsidRPr="00277525">
          <w:rPr>
            <w:bCs/>
            <w:lang w:val="en-US"/>
          </w:rPr>
          <w:t xml:space="preserve"> of </w:t>
        </w:r>
        <w:smartTag w:uri="urn:schemas-microsoft-com:office:smarttags" w:element="PlaceName">
          <w:r w:rsidRPr="00277525">
            <w:rPr>
              <w:bCs/>
              <w:lang w:val="en-US"/>
            </w:rPr>
            <w:t>Wooster</w:t>
          </w:r>
        </w:smartTag>
      </w:smartTag>
      <w:r w:rsidRPr="00277525">
        <w:rPr>
          <w:bCs/>
          <w:lang w:val="en-US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277525">
            <w:rPr>
              <w:bCs/>
              <w:lang w:val="en-US"/>
            </w:rPr>
            <w:t>Wooster</w:t>
          </w:r>
        </w:smartTag>
        <w:r w:rsidRPr="00277525">
          <w:rPr>
            <w:bCs/>
            <w:lang w:val="en-US"/>
          </w:rPr>
          <w:t xml:space="preserve">, </w:t>
        </w:r>
        <w:smartTag w:uri="urn:schemas-microsoft-com:office:smarttags" w:element="State">
          <w:r w:rsidRPr="00277525">
            <w:rPr>
              <w:bCs/>
              <w:lang w:val="en-US"/>
            </w:rPr>
            <w:t>Ohio</w:t>
          </w:r>
        </w:smartTag>
      </w:smartTag>
      <w:r w:rsidRPr="00277525">
        <w:rPr>
          <w:bCs/>
          <w:lang w:val="en-US"/>
        </w:rPr>
        <w:t xml:space="preserve">. 2005. </w:t>
      </w:r>
      <w:r w:rsidRPr="00277525">
        <w:rPr>
          <w:bCs/>
        </w:rPr>
        <w:t>October 11.</w:t>
      </w:r>
    </w:p>
  </w:endnote>
  <w:endnote w:id="3">
    <w:p w:rsidR="003C4C53" w:rsidRPr="00577494" w:rsidRDefault="003C4C53" w:rsidP="000846A2">
      <w:pPr>
        <w:pStyle w:val="a7"/>
        <w:jc w:val="both"/>
      </w:pPr>
      <w:r>
        <w:rPr>
          <w:rStyle w:val="a8"/>
        </w:rPr>
        <w:endnoteRef/>
      </w:r>
      <w:r>
        <w:t xml:space="preserve"> См. </w:t>
      </w:r>
      <w:r>
        <w:rPr>
          <w:lang w:val="en-US"/>
        </w:rPr>
        <w:t>Gudmundsson M. Financial globalization: key trends and implications for the transmission mechanism of monetary policy. // BIS Papers. 2008. April. No. 39</w:t>
      </w:r>
      <w:r>
        <w:t xml:space="preserve">; </w:t>
      </w:r>
      <w:r w:rsidRPr="00A43E24">
        <w:rPr>
          <w:lang w:val="en-US"/>
        </w:rPr>
        <w:t>Kashyap A., Stein J.</w:t>
      </w:r>
      <w:r w:rsidRPr="007064ED">
        <w:rPr>
          <w:lang w:val="en-US"/>
        </w:rPr>
        <w:t xml:space="preserve"> What Do A Million Observations on Banks Say About the Transmission of Monetary Policy? // </w:t>
      </w:r>
      <w:r w:rsidRPr="00552FF2">
        <w:rPr>
          <w:iCs/>
          <w:lang w:val="en-US"/>
        </w:rPr>
        <w:t>American Economic Review</w:t>
      </w:r>
      <w:r w:rsidRPr="007064ED">
        <w:rPr>
          <w:lang w:val="en-US"/>
        </w:rPr>
        <w:t>. 2000. Vol. 9</w:t>
      </w:r>
      <w:r>
        <w:rPr>
          <w:lang w:val="en-US"/>
        </w:rPr>
        <w:t>0. No. 3</w:t>
      </w:r>
      <w:r>
        <w:t xml:space="preserve">; </w:t>
      </w:r>
      <w:r w:rsidRPr="00577494">
        <w:rPr>
          <w:lang w:val="en-US"/>
        </w:rPr>
        <w:t xml:space="preserve">Cetorelli N., Goldberg L.S. Banking Globalization, Monetary Transmission, and the Lending Channel // Federal Reserve Bank of </w:t>
      </w:r>
      <w:smartTag w:uri="urn:schemas-microsoft-com:office:smarttags" w:element="State">
        <w:smartTag w:uri="urn:schemas-microsoft-com:office:smarttags" w:element="place">
          <w:r w:rsidRPr="00577494">
            <w:rPr>
              <w:lang w:val="en-US"/>
            </w:rPr>
            <w:t>New York</w:t>
          </w:r>
        </w:smartTag>
      </w:smartTag>
      <w:r w:rsidRPr="00577494">
        <w:rPr>
          <w:lang w:val="en-US"/>
        </w:rPr>
        <w:t xml:space="preserve"> Staff Reports. 2008. July. No. 333.</w:t>
      </w:r>
      <w:r>
        <w:rPr>
          <w:sz w:val="24"/>
          <w:szCs w:val="24"/>
          <w:lang w:val="en-US"/>
        </w:rPr>
        <w:t xml:space="preserve">  </w:t>
      </w:r>
    </w:p>
  </w:endnote>
  <w:endnote w:id="4">
    <w:p w:rsidR="003C4C53" w:rsidRDefault="003C4C53">
      <w:pPr>
        <w:pStyle w:val="a7"/>
      </w:pPr>
      <w:r>
        <w:rPr>
          <w:rStyle w:val="a8"/>
        </w:rPr>
        <w:endnoteRef/>
      </w:r>
      <w:r>
        <w:t xml:space="preserve"> В 1997 г. имел место значительный краткосрочный приток иностранного капитала.</w:t>
      </w:r>
    </w:p>
  </w:endnote>
  <w:endnote w:id="5">
    <w:p w:rsidR="003C4C53" w:rsidRPr="000A4FF6" w:rsidRDefault="003C4C53" w:rsidP="000A4FF6">
      <w:pPr>
        <w:pStyle w:val="a7"/>
        <w:jc w:val="both"/>
      </w:pPr>
      <w:r>
        <w:rPr>
          <w:rStyle w:val="a8"/>
        </w:rPr>
        <w:endnoteRef/>
      </w:r>
      <w:r>
        <w:t xml:space="preserve"> См. Некипелов А.Д., Головнин М.Ю. </w:t>
      </w:r>
      <w:r w:rsidRPr="000A4FF6">
        <w:t>Стратегия и тактика денежно-кредитной политики в условиях мирового экономического кризиса</w:t>
      </w:r>
      <w:r>
        <w:t xml:space="preserve"> // Вопросы экономики. 2010. №1 (в редакции). </w:t>
      </w:r>
    </w:p>
  </w:endnote>
  <w:endnote w:id="6">
    <w:p w:rsidR="003C4C53" w:rsidRPr="00E2072B" w:rsidRDefault="003C4C53" w:rsidP="00E2072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E2072B">
        <w:rPr>
          <w:rStyle w:val="a8"/>
          <w:sz w:val="20"/>
          <w:szCs w:val="20"/>
        </w:rPr>
        <w:endnoteRef/>
      </w:r>
      <w:r w:rsidRPr="00E2072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Анализ трансмиссионных механизмов денежно-кредитной политики России можно найти в </w:t>
      </w:r>
      <w:r w:rsidRPr="00E2072B">
        <w:rPr>
          <w:bCs/>
          <w:sz w:val="20"/>
          <w:szCs w:val="20"/>
        </w:rPr>
        <w:t>Дробышевский С.М., Трунин П.В., Каменских М.В.</w:t>
      </w:r>
      <w:r w:rsidRPr="00E2072B">
        <w:rPr>
          <w:sz w:val="20"/>
          <w:szCs w:val="20"/>
        </w:rPr>
        <w:t xml:space="preserve"> Анализ трансмиссионных механизмов денежно-кредитной политики в российской экономике</w:t>
      </w:r>
      <w:r>
        <w:rPr>
          <w:sz w:val="20"/>
          <w:szCs w:val="20"/>
        </w:rPr>
        <w:t xml:space="preserve"> // Научные труды №116Р. М.: ИЭПП, 2008.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C53" w:rsidRDefault="003C4C53" w:rsidP="00941C0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C4C53" w:rsidRDefault="003C4C53" w:rsidP="00941C07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C53" w:rsidRDefault="003C4C53" w:rsidP="00941C0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036AF">
      <w:rPr>
        <w:rStyle w:val="a6"/>
        <w:noProof/>
      </w:rPr>
      <w:t>1</w:t>
    </w:r>
    <w:r>
      <w:rPr>
        <w:rStyle w:val="a6"/>
      </w:rPr>
      <w:fldChar w:fldCharType="end"/>
    </w:r>
  </w:p>
  <w:p w:rsidR="003C4C53" w:rsidRDefault="003C4C53" w:rsidP="00941C07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36AF" w:rsidRDefault="009036AF">
      <w:r>
        <w:separator/>
      </w:r>
    </w:p>
  </w:footnote>
  <w:footnote w:type="continuationSeparator" w:id="0">
    <w:p w:rsidR="009036AF" w:rsidRDefault="009036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B86CA8"/>
    <w:multiLevelType w:val="hybridMultilevel"/>
    <w:tmpl w:val="8C3EAFFA"/>
    <w:lvl w:ilvl="0" w:tplc="A6A8204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C74"/>
    <w:rsid w:val="00000008"/>
    <w:rsid w:val="000059FE"/>
    <w:rsid w:val="0003430E"/>
    <w:rsid w:val="00045CE3"/>
    <w:rsid w:val="00046672"/>
    <w:rsid w:val="000513C3"/>
    <w:rsid w:val="000515E0"/>
    <w:rsid w:val="000576E0"/>
    <w:rsid w:val="00067503"/>
    <w:rsid w:val="000846A2"/>
    <w:rsid w:val="000A4FF6"/>
    <w:rsid w:val="000D129E"/>
    <w:rsid w:val="000E78E5"/>
    <w:rsid w:val="0012339B"/>
    <w:rsid w:val="00133F3F"/>
    <w:rsid w:val="00160776"/>
    <w:rsid w:val="001C7009"/>
    <w:rsid w:val="001F642F"/>
    <w:rsid w:val="00220D2B"/>
    <w:rsid w:val="00237C88"/>
    <w:rsid w:val="00262F36"/>
    <w:rsid w:val="002639D0"/>
    <w:rsid w:val="002765B6"/>
    <w:rsid w:val="00277525"/>
    <w:rsid w:val="002A2891"/>
    <w:rsid w:val="002A6B01"/>
    <w:rsid w:val="002E0F86"/>
    <w:rsid w:val="002E5A4C"/>
    <w:rsid w:val="002F0267"/>
    <w:rsid w:val="002F2FBA"/>
    <w:rsid w:val="00321D7C"/>
    <w:rsid w:val="003370A7"/>
    <w:rsid w:val="00341418"/>
    <w:rsid w:val="0035496B"/>
    <w:rsid w:val="0037751D"/>
    <w:rsid w:val="00386EA1"/>
    <w:rsid w:val="00391862"/>
    <w:rsid w:val="00391BAD"/>
    <w:rsid w:val="003A3FCB"/>
    <w:rsid w:val="003A5FDF"/>
    <w:rsid w:val="003C4C53"/>
    <w:rsid w:val="003E164E"/>
    <w:rsid w:val="003F6BDC"/>
    <w:rsid w:val="0045616F"/>
    <w:rsid w:val="00464D1F"/>
    <w:rsid w:val="004A51DB"/>
    <w:rsid w:val="004D4D9F"/>
    <w:rsid w:val="004E54D3"/>
    <w:rsid w:val="004E5801"/>
    <w:rsid w:val="004F6FC5"/>
    <w:rsid w:val="00501D78"/>
    <w:rsid w:val="00522228"/>
    <w:rsid w:val="00522446"/>
    <w:rsid w:val="00525AF7"/>
    <w:rsid w:val="00541D4E"/>
    <w:rsid w:val="00577494"/>
    <w:rsid w:val="00595AF1"/>
    <w:rsid w:val="00626935"/>
    <w:rsid w:val="00635729"/>
    <w:rsid w:val="00640519"/>
    <w:rsid w:val="00652834"/>
    <w:rsid w:val="006835AC"/>
    <w:rsid w:val="006860FD"/>
    <w:rsid w:val="0068625E"/>
    <w:rsid w:val="00697B49"/>
    <w:rsid w:val="006D0204"/>
    <w:rsid w:val="006E62A5"/>
    <w:rsid w:val="006F0BB8"/>
    <w:rsid w:val="006F7092"/>
    <w:rsid w:val="00706D2F"/>
    <w:rsid w:val="0070701D"/>
    <w:rsid w:val="00734AA0"/>
    <w:rsid w:val="00737C74"/>
    <w:rsid w:val="0074248B"/>
    <w:rsid w:val="00794D2B"/>
    <w:rsid w:val="007A524B"/>
    <w:rsid w:val="007B2100"/>
    <w:rsid w:val="007B509D"/>
    <w:rsid w:val="007E23D3"/>
    <w:rsid w:val="00822651"/>
    <w:rsid w:val="0085541E"/>
    <w:rsid w:val="00881E1A"/>
    <w:rsid w:val="008975B2"/>
    <w:rsid w:val="008A4C0B"/>
    <w:rsid w:val="008B7170"/>
    <w:rsid w:val="009036AF"/>
    <w:rsid w:val="00920C16"/>
    <w:rsid w:val="009277B7"/>
    <w:rsid w:val="00941C07"/>
    <w:rsid w:val="00947903"/>
    <w:rsid w:val="00986403"/>
    <w:rsid w:val="009A72FD"/>
    <w:rsid w:val="009F678B"/>
    <w:rsid w:val="00A215C3"/>
    <w:rsid w:val="00A43E24"/>
    <w:rsid w:val="00A72BBD"/>
    <w:rsid w:val="00A92FB7"/>
    <w:rsid w:val="00B06252"/>
    <w:rsid w:val="00B225BE"/>
    <w:rsid w:val="00B32251"/>
    <w:rsid w:val="00B526CE"/>
    <w:rsid w:val="00B54244"/>
    <w:rsid w:val="00B81921"/>
    <w:rsid w:val="00BD5550"/>
    <w:rsid w:val="00C100EC"/>
    <w:rsid w:val="00C10FAE"/>
    <w:rsid w:val="00C23F37"/>
    <w:rsid w:val="00C3401A"/>
    <w:rsid w:val="00C401B6"/>
    <w:rsid w:val="00C43032"/>
    <w:rsid w:val="00CB4B07"/>
    <w:rsid w:val="00CC00E9"/>
    <w:rsid w:val="00CC36BC"/>
    <w:rsid w:val="00CF3C1D"/>
    <w:rsid w:val="00D47868"/>
    <w:rsid w:val="00D5093E"/>
    <w:rsid w:val="00D57824"/>
    <w:rsid w:val="00D62BC2"/>
    <w:rsid w:val="00D94407"/>
    <w:rsid w:val="00DA385D"/>
    <w:rsid w:val="00DD1CFE"/>
    <w:rsid w:val="00DD3409"/>
    <w:rsid w:val="00DF03DD"/>
    <w:rsid w:val="00E04517"/>
    <w:rsid w:val="00E133D2"/>
    <w:rsid w:val="00E2072B"/>
    <w:rsid w:val="00E303C9"/>
    <w:rsid w:val="00E33428"/>
    <w:rsid w:val="00E6428B"/>
    <w:rsid w:val="00E70FDC"/>
    <w:rsid w:val="00E7590A"/>
    <w:rsid w:val="00E810C8"/>
    <w:rsid w:val="00EC5915"/>
    <w:rsid w:val="00ED5719"/>
    <w:rsid w:val="00EF2D41"/>
    <w:rsid w:val="00F01A9E"/>
    <w:rsid w:val="00F818E9"/>
    <w:rsid w:val="00F859A6"/>
    <w:rsid w:val="00FC2E76"/>
    <w:rsid w:val="00FD3CD9"/>
    <w:rsid w:val="00FD7265"/>
    <w:rsid w:val="00FF6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ity"/>
  <w:smartTagType w:namespaceuri="urn:schemas-microsoft-com:office:smarttags" w:name="State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8766BB4D-3905-4E99-8C68-969BC9F56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0A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fn,Fußnote,WB-Fußnotentext Char Char,WB-Fußnotentext Char Char ,Footnote,Podrozdział,WB-Fußnotentext,Fu?note,Fu?note1,Текст сноски Знак,Текст сноски Знак1 Знак,Текст сноски Знак Знак Знак,Table_Footnote_last,Текст сноски Знак Знак"/>
    <w:basedOn w:val="a"/>
    <w:semiHidden/>
    <w:rsid w:val="00A215C3"/>
    <w:rPr>
      <w:sz w:val="20"/>
      <w:szCs w:val="20"/>
    </w:rPr>
  </w:style>
  <w:style w:type="character" w:styleId="a4">
    <w:name w:val="footnote reference"/>
    <w:aliases w:val="Знак сноски 1,Footnote Reference Number"/>
    <w:basedOn w:val="a0"/>
    <w:semiHidden/>
    <w:rsid w:val="00A215C3"/>
    <w:rPr>
      <w:vertAlign w:val="superscript"/>
    </w:rPr>
  </w:style>
  <w:style w:type="paragraph" w:styleId="a5">
    <w:name w:val="footer"/>
    <w:basedOn w:val="a"/>
    <w:rsid w:val="00941C07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941C07"/>
  </w:style>
  <w:style w:type="paragraph" w:styleId="a7">
    <w:name w:val="endnote text"/>
    <w:basedOn w:val="a"/>
    <w:semiHidden/>
    <w:rsid w:val="0085541E"/>
    <w:rPr>
      <w:sz w:val="20"/>
      <w:szCs w:val="20"/>
    </w:rPr>
  </w:style>
  <w:style w:type="character" w:styleId="a8">
    <w:name w:val="endnote reference"/>
    <w:basedOn w:val="a0"/>
    <w:semiHidden/>
    <w:rsid w:val="0085541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______Microsoft_Excel_97-20031.xls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1568</Words>
  <Characters>8942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Выбор модели денежно-кредитной политики в России в условиях глобализации экономики</vt:lpstr>
    </vt:vector>
  </TitlesOfParts>
  <Company/>
  <LinksUpToDate>false</LinksUpToDate>
  <CharactersWithSpaces>10490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Выбор модели денежно-кредитной политики в России в условиях глобализации экономики</dc:title>
  <dc:subject/>
  <dc:creator>Michael</dc:creator>
  <cp:keywords/>
  <dc:description/>
  <cp:lastModifiedBy>Irina</cp:lastModifiedBy>
  <cp:revision>2</cp:revision>
  <dcterms:created xsi:type="dcterms:W3CDTF">2014-08-22T07:03:00Z</dcterms:created>
  <dcterms:modified xsi:type="dcterms:W3CDTF">2014-08-22T07:03:00Z</dcterms:modified>
</cp:coreProperties>
</file>