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bookmarkStart w:id="0" w:name="1012477-A-101"/>
      <w:r w:rsidRPr="001A0BEB"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A0BEB">
        <w:rPr>
          <w:rFonts w:ascii="Times New Roman" w:hAnsi="Times New Roman"/>
          <w:sz w:val="24"/>
          <w:szCs w:val="24"/>
        </w:rPr>
        <w:t xml:space="preserve">Федеральное агентство по образованию </w:t>
      </w: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A0BEB">
        <w:rPr>
          <w:rFonts w:ascii="Times New Roman" w:hAnsi="Times New Roman"/>
          <w:sz w:val="24"/>
          <w:szCs w:val="24"/>
        </w:rPr>
        <w:t>ГОУ ВПО Всероссийский заочный финансово-экономический институт</w:t>
      </w: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A0BEB">
        <w:rPr>
          <w:rFonts w:ascii="Times New Roman" w:hAnsi="Times New Roman"/>
          <w:sz w:val="24"/>
          <w:szCs w:val="24"/>
        </w:rPr>
        <w:t xml:space="preserve">Кафедра </w:t>
      </w:r>
      <w:r>
        <w:rPr>
          <w:rFonts w:ascii="Times New Roman" w:hAnsi="Times New Roman"/>
          <w:bCs/>
          <w:iCs/>
          <w:sz w:val="24"/>
          <w:szCs w:val="24"/>
        </w:rPr>
        <w:t>Финансов, бюджета и страхования</w:t>
      </w: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E81CDF">
        <w:rPr>
          <w:rFonts w:ascii="Times New Roman" w:hAnsi="Times New Roman"/>
          <w:sz w:val="28"/>
          <w:szCs w:val="28"/>
        </w:rPr>
        <w:t>КОНТРОЛЬНАЯ РАБОТА</w:t>
      </w: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E81CDF">
        <w:rPr>
          <w:rFonts w:ascii="Times New Roman" w:hAnsi="Times New Roman"/>
          <w:sz w:val="28"/>
          <w:szCs w:val="28"/>
        </w:rPr>
        <w:t xml:space="preserve">по </w:t>
      </w:r>
      <w:r w:rsidR="00091119">
        <w:rPr>
          <w:rFonts w:ascii="Times New Roman" w:hAnsi="Times New Roman"/>
          <w:sz w:val="28"/>
          <w:szCs w:val="28"/>
        </w:rPr>
        <w:t>курсу «Финансы и кредит»</w:t>
      </w:r>
      <w:r w:rsidRPr="00E81CDF">
        <w:rPr>
          <w:rFonts w:ascii="Times New Roman" w:hAnsi="Times New Roman"/>
          <w:sz w:val="28"/>
          <w:szCs w:val="28"/>
        </w:rPr>
        <w:t xml:space="preserve"> на тему:</w:t>
      </w: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Банковское кредитование населения</w:t>
      </w: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E81CDF" w:rsidRDefault="003A384C" w:rsidP="003A384C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84574" w:rsidRDefault="003A384C" w:rsidP="003A384C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81CDF">
        <w:rPr>
          <w:rFonts w:ascii="Times New Roman" w:hAnsi="Times New Roman"/>
          <w:b/>
          <w:sz w:val="28"/>
          <w:szCs w:val="28"/>
        </w:rPr>
        <w:t>Рецензент:</w:t>
      </w:r>
      <w:r w:rsidRPr="00E81CDF">
        <w:rPr>
          <w:rFonts w:ascii="Times New Roman" w:hAnsi="Times New Roman"/>
          <w:sz w:val="28"/>
          <w:szCs w:val="28"/>
        </w:rPr>
        <w:t xml:space="preserve"> </w:t>
      </w:r>
    </w:p>
    <w:p w:rsidR="00B06A22" w:rsidRDefault="003A384C" w:rsidP="003A384C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81CDF">
        <w:rPr>
          <w:rFonts w:ascii="Times New Roman" w:hAnsi="Times New Roman"/>
          <w:b/>
          <w:sz w:val="28"/>
          <w:szCs w:val="28"/>
        </w:rPr>
        <w:t>Работу выполнил:</w:t>
      </w:r>
      <w:r w:rsidRPr="00E81CDF">
        <w:rPr>
          <w:rFonts w:ascii="Times New Roman" w:hAnsi="Times New Roman"/>
          <w:sz w:val="28"/>
          <w:szCs w:val="28"/>
        </w:rPr>
        <w:t xml:space="preserve"> </w:t>
      </w:r>
    </w:p>
    <w:p w:rsidR="003A384C" w:rsidRPr="00E81CDF" w:rsidRDefault="003A384C" w:rsidP="003A384C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81CDF">
        <w:rPr>
          <w:rFonts w:ascii="Times New Roman" w:hAnsi="Times New Roman"/>
          <w:b/>
          <w:sz w:val="28"/>
          <w:szCs w:val="28"/>
        </w:rPr>
        <w:t>Факультет:</w:t>
      </w:r>
    </w:p>
    <w:p w:rsidR="003A384C" w:rsidRPr="00E81CDF" w:rsidRDefault="003A384C" w:rsidP="003A384C">
      <w:pPr>
        <w:spacing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E81CDF">
        <w:rPr>
          <w:rFonts w:ascii="Times New Roman" w:hAnsi="Times New Roman"/>
          <w:b/>
          <w:sz w:val="28"/>
          <w:szCs w:val="28"/>
        </w:rPr>
        <w:t>Личное дело:</w:t>
      </w: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E81CDF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84574" w:rsidRDefault="00184574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A0BEB">
        <w:rPr>
          <w:rFonts w:ascii="Times New Roman" w:hAnsi="Times New Roman"/>
          <w:b/>
          <w:sz w:val="28"/>
          <w:szCs w:val="28"/>
        </w:rPr>
        <w:t>План</w:t>
      </w:r>
    </w:p>
    <w:p w:rsidR="003A384C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A0BEB">
        <w:rPr>
          <w:rFonts w:ascii="Times New Roman" w:hAnsi="Times New Roman"/>
          <w:sz w:val="28"/>
          <w:szCs w:val="28"/>
        </w:rPr>
        <w:t>Введение………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…………………………………………………………………...</w:t>
      </w:r>
      <w:r w:rsidRPr="003A384C">
        <w:rPr>
          <w:rFonts w:ascii="Times New Roman" w:hAnsi="Times New Roman"/>
          <w:sz w:val="28"/>
          <w:szCs w:val="28"/>
        </w:rPr>
        <w:t>3</w:t>
      </w:r>
      <w:r w:rsidRPr="003A384C">
        <w:rPr>
          <w:rFonts w:ascii="Times New Roman" w:hAnsi="Times New Roman"/>
          <w:bCs/>
          <w:sz w:val="28"/>
          <w:szCs w:val="28"/>
        </w:rPr>
        <w:t>Общая характеристика доходов и расходов домохозяйств</w:t>
      </w:r>
      <w:r>
        <w:rPr>
          <w:rFonts w:ascii="Times New Roman" w:hAnsi="Times New Roman"/>
          <w:bCs/>
          <w:sz w:val="28"/>
          <w:szCs w:val="28"/>
        </w:rPr>
        <w:t>……………………</w:t>
      </w:r>
      <w:r w:rsidRPr="001A0BEB">
        <w:rPr>
          <w:rFonts w:ascii="Times New Roman" w:hAnsi="Times New Roman"/>
          <w:sz w:val="28"/>
          <w:szCs w:val="28"/>
        </w:rPr>
        <w:t>4</w:t>
      </w:r>
    </w:p>
    <w:p w:rsidR="003A384C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A384C">
        <w:rPr>
          <w:rFonts w:ascii="Times New Roman" w:hAnsi="Times New Roman"/>
          <w:sz w:val="28"/>
          <w:szCs w:val="28"/>
        </w:rPr>
        <w:t>Потребительское кредитование как источник формирования финансовых ресурсов домохозяйств</w:t>
      </w:r>
      <w:r w:rsidRPr="001A0BEB">
        <w:rPr>
          <w:rFonts w:ascii="Times New Roman" w:hAnsi="Times New Roman"/>
          <w:bCs/>
          <w:sz w:val="28"/>
          <w:szCs w:val="28"/>
        </w:rPr>
        <w:t>………</w:t>
      </w:r>
      <w:r>
        <w:rPr>
          <w:rFonts w:ascii="Times New Roman" w:hAnsi="Times New Roman"/>
          <w:sz w:val="28"/>
          <w:szCs w:val="28"/>
        </w:rPr>
        <w:t>………………………………………………….13</w:t>
      </w:r>
    </w:p>
    <w:p w:rsidR="003A384C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A384C">
        <w:rPr>
          <w:rFonts w:ascii="Times New Roman" w:hAnsi="Times New Roman"/>
          <w:sz w:val="28"/>
          <w:szCs w:val="28"/>
        </w:rPr>
        <w:t>Ипотечное кредитование населения</w:t>
      </w:r>
      <w:r>
        <w:rPr>
          <w:rFonts w:ascii="Times New Roman" w:hAnsi="Times New Roman"/>
          <w:bCs/>
          <w:sz w:val="28"/>
          <w:szCs w:val="28"/>
        </w:rPr>
        <w:t>……………………………………………15</w:t>
      </w: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Тесты……………………………………………………………………………...20</w:t>
      </w: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A0BEB">
        <w:rPr>
          <w:rFonts w:ascii="Times New Roman" w:hAnsi="Times New Roman"/>
          <w:sz w:val="28"/>
          <w:szCs w:val="28"/>
        </w:rPr>
        <w:t>Список литера</w:t>
      </w:r>
      <w:r>
        <w:rPr>
          <w:rFonts w:ascii="Times New Roman" w:hAnsi="Times New Roman"/>
          <w:sz w:val="28"/>
          <w:szCs w:val="28"/>
        </w:rPr>
        <w:t>туры………………………………………………………………23</w:t>
      </w: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384C" w:rsidRPr="001A0BEB" w:rsidRDefault="003A384C" w:rsidP="003A384C">
      <w:pPr>
        <w:shd w:val="clear" w:color="auto" w:fill="FFFFFF"/>
        <w:spacing w:after="75" w:line="360" w:lineRule="auto"/>
        <w:contextualSpacing/>
        <w:rPr>
          <w:rFonts w:ascii="Times New Roman" w:hAnsi="Times New Roman"/>
          <w:b/>
          <w:color w:val="202123"/>
          <w:sz w:val="28"/>
          <w:szCs w:val="28"/>
        </w:rPr>
      </w:pPr>
    </w:p>
    <w:p w:rsidR="003A384C" w:rsidRPr="001A0BEB" w:rsidRDefault="003A384C" w:rsidP="003A384C">
      <w:pPr>
        <w:shd w:val="clear" w:color="auto" w:fill="FFFFFF"/>
        <w:spacing w:after="75" w:line="360" w:lineRule="auto"/>
        <w:contextualSpacing/>
        <w:rPr>
          <w:rFonts w:ascii="Times New Roman" w:hAnsi="Times New Roman"/>
          <w:b/>
          <w:color w:val="202123"/>
          <w:sz w:val="28"/>
          <w:szCs w:val="28"/>
        </w:rPr>
      </w:pPr>
    </w:p>
    <w:p w:rsidR="003A384C" w:rsidRDefault="003A384C" w:rsidP="003A384C">
      <w:pPr>
        <w:shd w:val="clear" w:color="auto" w:fill="FFFFFF"/>
        <w:spacing w:after="75" w:line="360" w:lineRule="auto"/>
        <w:contextualSpacing/>
        <w:rPr>
          <w:rFonts w:ascii="Times New Roman" w:hAnsi="Times New Roman"/>
          <w:b/>
          <w:color w:val="202123"/>
          <w:sz w:val="28"/>
          <w:szCs w:val="28"/>
        </w:rPr>
      </w:pPr>
    </w:p>
    <w:p w:rsidR="003A384C" w:rsidRDefault="003A384C" w:rsidP="003A384C">
      <w:pPr>
        <w:shd w:val="clear" w:color="auto" w:fill="FFFFFF"/>
        <w:spacing w:after="75" w:line="360" w:lineRule="auto"/>
        <w:contextualSpacing/>
        <w:rPr>
          <w:rFonts w:ascii="Times New Roman" w:hAnsi="Times New Roman"/>
          <w:b/>
          <w:color w:val="202123"/>
          <w:sz w:val="28"/>
          <w:szCs w:val="28"/>
        </w:rPr>
      </w:pPr>
    </w:p>
    <w:p w:rsidR="003A384C" w:rsidRDefault="003A384C" w:rsidP="003A384C">
      <w:pPr>
        <w:shd w:val="clear" w:color="auto" w:fill="FFFFFF"/>
        <w:spacing w:after="75" w:line="360" w:lineRule="auto"/>
        <w:contextualSpacing/>
        <w:rPr>
          <w:rFonts w:ascii="Times New Roman" w:hAnsi="Times New Roman"/>
          <w:b/>
          <w:color w:val="202123"/>
          <w:sz w:val="28"/>
          <w:szCs w:val="28"/>
        </w:rPr>
      </w:pPr>
    </w:p>
    <w:p w:rsidR="003A384C" w:rsidRDefault="003A384C" w:rsidP="003A384C">
      <w:pPr>
        <w:shd w:val="clear" w:color="auto" w:fill="FFFFFF"/>
        <w:spacing w:after="75" w:line="360" w:lineRule="auto"/>
        <w:contextualSpacing/>
        <w:rPr>
          <w:rFonts w:ascii="Times New Roman" w:hAnsi="Times New Roman"/>
          <w:b/>
          <w:color w:val="202123"/>
          <w:sz w:val="28"/>
          <w:szCs w:val="28"/>
        </w:rPr>
      </w:pPr>
    </w:p>
    <w:p w:rsidR="003A384C" w:rsidRPr="001A0BEB" w:rsidRDefault="003A384C" w:rsidP="003A384C">
      <w:pPr>
        <w:shd w:val="clear" w:color="auto" w:fill="FFFFFF"/>
        <w:spacing w:after="75" w:line="360" w:lineRule="auto"/>
        <w:contextualSpacing/>
        <w:rPr>
          <w:rFonts w:ascii="Times New Roman" w:hAnsi="Times New Roman"/>
          <w:b/>
          <w:color w:val="202123"/>
          <w:sz w:val="28"/>
          <w:szCs w:val="28"/>
        </w:rPr>
      </w:pPr>
    </w:p>
    <w:p w:rsidR="003A384C" w:rsidRPr="001A0BEB" w:rsidRDefault="003A384C" w:rsidP="003A384C">
      <w:pPr>
        <w:shd w:val="clear" w:color="auto" w:fill="FFFFFF"/>
        <w:spacing w:after="75" w:line="360" w:lineRule="auto"/>
        <w:contextualSpacing/>
        <w:rPr>
          <w:rFonts w:ascii="Times New Roman" w:hAnsi="Times New Roman"/>
          <w:b/>
          <w:color w:val="202123"/>
          <w:sz w:val="28"/>
          <w:szCs w:val="28"/>
        </w:rPr>
      </w:pPr>
    </w:p>
    <w:p w:rsidR="005D166F" w:rsidRPr="007948E6" w:rsidRDefault="005D166F" w:rsidP="005D166F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948E6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bCs/>
          <w:sz w:val="28"/>
          <w:szCs w:val="28"/>
        </w:rPr>
        <w:t>Домохозяйство</w:t>
      </w:r>
      <w:r w:rsidRPr="005D166F">
        <w:rPr>
          <w:rFonts w:ascii="Times New Roman" w:hAnsi="Times New Roman"/>
          <w:b/>
          <w:bCs/>
          <w:color w:val="006699"/>
          <w:sz w:val="28"/>
          <w:szCs w:val="28"/>
        </w:rPr>
        <w:t xml:space="preserve"> </w:t>
      </w:r>
      <w:bookmarkEnd w:id="0"/>
      <w:r w:rsidRPr="005D166F">
        <w:rPr>
          <w:rFonts w:ascii="Times New Roman" w:hAnsi="Times New Roman"/>
          <w:sz w:val="28"/>
          <w:szCs w:val="28"/>
        </w:rPr>
        <w:t>(household) – субъект экономики, который состоит из одного ведущего самостоятельное хозяйство индивида или, чаще, группы людей, живущих совместно и ведущих общее хозяйство. Как правило, такая группа лиц объединена родственными или семейными связями. Домохозяйства являются объектом изучения экономики, социологии, псих</w:t>
      </w:r>
      <w:bookmarkStart w:id="1" w:name="1012477-L-102"/>
      <w:r>
        <w:rPr>
          <w:rFonts w:ascii="Times New Roman" w:hAnsi="Times New Roman"/>
          <w:sz w:val="28"/>
          <w:szCs w:val="28"/>
        </w:rPr>
        <w:t>ологии и др. общественных наук.</w:t>
      </w:r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b/>
          <w:bCs/>
          <w:sz w:val="28"/>
          <w:szCs w:val="28"/>
        </w:rPr>
        <w:t>Основные признаки домохозяйства.</w:t>
      </w:r>
      <w:r w:rsidRPr="005D166F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5D166F">
        <w:rPr>
          <w:rFonts w:ascii="Times New Roman" w:hAnsi="Times New Roman"/>
          <w:sz w:val="28"/>
          <w:szCs w:val="28"/>
        </w:rPr>
        <w:t>Основу домохозяйств обычно составляют семейные хозяйства. Однако данные понятия хотя и близки, но не совпадают. Не случайно в рекомендациях ООН для статистического учета домохозяйств дано такое их определение: «лицо или группа лиц, объединенных с целью обеспечения всем необходимым для жизни», – в котор</w:t>
      </w:r>
      <w:r>
        <w:rPr>
          <w:rFonts w:ascii="Times New Roman" w:hAnsi="Times New Roman"/>
          <w:sz w:val="28"/>
          <w:szCs w:val="28"/>
        </w:rPr>
        <w:t>ом семья совсем не упоминается.</w:t>
      </w:r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>Одним из ключевых критериев различия домохозяйства и семьи является наличие обособленных бюджетов каждого домохозяйства. Например</w:t>
      </w:r>
      <w:r>
        <w:rPr>
          <w:rFonts w:ascii="Times New Roman" w:hAnsi="Times New Roman"/>
          <w:sz w:val="28"/>
          <w:szCs w:val="28"/>
        </w:rPr>
        <w:t>,</w:t>
      </w:r>
      <w:r w:rsidRPr="005D166F">
        <w:rPr>
          <w:rFonts w:ascii="Times New Roman" w:hAnsi="Times New Roman"/>
          <w:sz w:val="28"/>
          <w:szCs w:val="28"/>
        </w:rPr>
        <w:t xml:space="preserve"> семья, состоящая из родственников трех поколений (дедушка, бабушка, отец, мать и внуки) может осуществлять свою деятельность как в рамках одного домохозяйства (проживая совместно), так и нескольких, живя по раздельности и имея разные бюджеты. В первом случае семья совпадает с домохозяйством, во втором – состоит из нескольких домохозяйств. В то же время этот критерий относителен. С одной стороны, обособленность бюджетов не исключает как возвратных, так и безвозмездных денежных и натуральных «субсидий» от одних членов большой семьи другим, даже если они живут раздельно. С другой стороны, в совместно живущих семьях, считающихся единым домохозяйством, помимо взносов в общесемейный бюджет, каждый член семьи обладает и личными средствами к существованию. </w:t>
      </w:r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>Следует подчеркнуть, что степень близости понятий «семья» и «домохозяйство», как правило, связана с социокультурными особенностями общества, с отношениями в обществе к пожилым людям, также зависит от религии, от господствующей морали и экономической ментальности. Распространено мнение, что в романских странах (Италии, Испании, странах Латинской Америки) традиционно семьи и домохозяйства близки друг к другу, во всяком случае, менее атомизированы, чем в англо-саксонских странах (например, в США). Это значит, что обычно молодой итальянец, даже если он заводит собственную семью, все равно продолжает тесно общаться со своими родителями и другими родственниками, помогая им и получая от них материальную поддержку. Напротив, в США общепринято, что молодые американцы рано «отрываются» от родителей и других членов семьи, «пробивая себе путь в жизни» только за счет собственных средств и усилий.</w:t>
      </w:r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>Часто в экономической науке (прежде всего, в неоклассической экономической теории) понятия «домохозяйство» и «</w:t>
      </w:r>
      <w:r w:rsidRPr="005D166F">
        <w:rPr>
          <w:rFonts w:ascii="Times New Roman" w:hAnsi="Times New Roman"/>
          <w:i/>
          <w:iCs/>
          <w:sz w:val="28"/>
          <w:szCs w:val="28"/>
        </w:rPr>
        <w:t>индивид</w:t>
      </w:r>
      <w:r w:rsidRPr="005D166F">
        <w:rPr>
          <w:rFonts w:ascii="Times New Roman" w:hAnsi="Times New Roman"/>
          <w:sz w:val="28"/>
          <w:szCs w:val="28"/>
        </w:rPr>
        <w:t xml:space="preserve">» рассматриваются как тождественные. Поэтому социологи справедливо упрекают экономистов за не вполне корректное понимание главного экономического субъекта: экономисты-неоклассики фактически считают таковым индивида, заботящегося только о своей личной выгоде; социологи же подчеркивают, что любой нормальный человек не проводит резкой грани между заботой лично о себе и заботой о своих близких, членах его домохозяйства. Однако в целом домохозяйства, состоящие из индивидов-одиночек, отнюдь не являются самыми типичными. </w:t>
      </w:r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>Необходимо также отличать понятие «домохозяйство» от собственно деятельности по ведению домашнего хозяйства – «</w:t>
      </w:r>
      <w:r w:rsidRPr="005D166F">
        <w:rPr>
          <w:rFonts w:ascii="Times New Roman" w:hAnsi="Times New Roman"/>
          <w:i/>
          <w:iCs/>
          <w:sz w:val="28"/>
          <w:szCs w:val="28"/>
        </w:rPr>
        <w:t>домашней экономики</w:t>
      </w:r>
      <w:r w:rsidRPr="005D166F">
        <w:rPr>
          <w:rFonts w:ascii="Times New Roman" w:hAnsi="Times New Roman"/>
          <w:sz w:val="28"/>
          <w:szCs w:val="28"/>
        </w:rPr>
        <w:t xml:space="preserve">». «Домашняя экономика» включает в себя хозяйственную деятельность исключительно внутри дома: его уборку, приготовление пищи, уход за детьми и т.п. Понятие «домохозяйство» значительно шире. Деятельность домохозяйства включает как внерыночное ведение домашнего хозяйства, так и рыночное взаимодействие с другими субъектами рыночного хозяйства. </w:t>
      </w:r>
      <w:bookmarkStart w:id="2" w:name="1012477-L-103"/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D166F" w:rsidRPr="00B202FC" w:rsidRDefault="005D166F" w:rsidP="00B202FC">
      <w:pPr>
        <w:pStyle w:val="a7"/>
        <w:numPr>
          <w:ilvl w:val="0"/>
          <w:numId w:val="1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202FC">
        <w:rPr>
          <w:rFonts w:ascii="Times New Roman" w:hAnsi="Times New Roman"/>
          <w:b/>
          <w:bCs/>
          <w:sz w:val="28"/>
          <w:szCs w:val="28"/>
        </w:rPr>
        <w:t xml:space="preserve">Общая характеристика </w:t>
      </w:r>
      <w:r w:rsidR="007948E6" w:rsidRPr="00B202FC">
        <w:rPr>
          <w:rFonts w:ascii="Times New Roman" w:hAnsi="Times New Roman"/>
          <w:b/>
          <w:bCs/>
          <w:sz w:val="28"/>
          <w:szCs w:val="28"/>
        </w:rPr>
        <w:t>доходов и расходов домохозяйств</w:t>
      </w:r>
    </w:p>
    <w:p w:rsidR="005D166F" w:rsidRP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Прежде чем рассматривать характеристику доходов и расходов домохозяйств, я хотела бы более подробно изучить особенности домохозяйств: их функции, роль в экономике, экономическое поведение. </w:t>
      </w:r>
    </w:p>
    <w:p w:rsid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b/>
          <w:bCs/>
          <w:sz w:val="28"/>
          <w:szCs w:val="28"/>
        </w:rPr>
        <w:t>Функции домохозяйства</w:t>
      </w:r>
      <w:r w:rsidRPr="005D166F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Pr="005D166F">
        <w:rPr>
          <w:rFonts w:ascii="Times New Roman" w:hAnsi="Times New Roman"/>
          <w:b/>
          <w:bCs/>
          <w:color w:val="006699"/>
          <w:sz w:val="28"/>
          <w:szCs w:val="28"/>
        </w:rPr>
        <w:t xml:space="preserve"> </w:t>
      </w:r>
      <w:bookmarkEnd w:id="2"/>
      <w:r w:rsidRPr="005D166F">
        <w:rPr>
          <w:rFonts w:ascii="Times New Roman" w:hAnsi="Times New Roman"/>
          <w:sz w:val="28"/>
          <w:szCs w:val="28"/>
        </w:rPr>
        <w:t>Домохозяйство выполняет многие функции, которые можно представить в виде схемы (</w:t>
      </w:r>
      <w:r w:rsidRPr="005D166F">
        <w:rPr>
          <w:rFonts w:ascii="Times New Roman" w:hAnsi="Times New Roman"/>
          <w:iCs/>
          <w:sz w:val="28"/>
          <w:szCs w:val="28"/>
        </w:rPr>
        <w:t>см</w:t>
      </w:r>
      <w:r w:rsidRPr="005D166F">
        <w:rPr>
          <w:rFonts w:ascii="Times New Roman" w:hAnsi="Times New Roman"/>
          <w:sz w:val="28"/>
          <w:szCs w:val="28"/>
        </w:rPr>
        <w:t xml:space="preserve">. рис. 1). </w:t>
      </w:r>
    </w:p>
    <w:p w:rsidR="005D166F" w:rsidRPr="005D166F" w:rsidRDefault="005D166F" w:rsidP="005D166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Определяющей для домохозяйства является функция </w:t>
      </w:r>
      <w:r w:rsidRPr="005D166F">
        <w:rPr>
          <w:rFonts w:ascii="Times New Roman" w:hAnsi="Times New Roman"/>
          <w:iCs/>
          <w:sz w:val="28"/>
          <w:szCs w:val="28"/>
        </w:rPr>
        <w:t xml:space="preserve">воспроизводства </w:t>
      </w:r>
      <w:r w:rsidRPr="005D166F">
        <w:rPr>
          <w:rFonts w:ascii="Times New Roman" w:hAnsi="Times New Roman"/>
          <w:sz w:val="28"/>
          <w:szCs w:val="28"/>
        </w:rPr>
        <w:t>(</w:t>
      </w:r>
      <w:r w:rsidRPr="005D166F">
        <w:rPr>
          <w:rFonts w:ascii="Times New Roman" w:hAnsi="Times New Roman"/>
          <w:iCs/>
          <w:sz w:val="28"/>
          <w:szCs w:val="28"/>
        </w:rPr>
        <w:t>восполнения затрат и накопления</w:t>
      </w:r>
      <w:r w:rsidRPr="005D166F">
        <w:rPr>
          <w:rFonts w:ascii="Times New Roman" w:hAnsi="Times New Roman"/>
          <w:sz w:val="28"/>
          <w:szCs w:val="28"/>
        </w:rPr>
        <w:t>)</w:t>
      </w:r>
      <w:r w:rsidRPr="005D166F">
        <w:rPr>
          <w:rFonts w:ascii="Times New Roman" w:hAnsi="Times New Roman"/>
          <w:iCs/>
          <w:sz w:val="28"/>
          <w:szCs w:val="28"/>
        </w:rPr>
        <w:t xml:space="preserve"> человеческого капитала</w:t>
      </w:r>
      <w:r w:rsidRPr="005D166F">
        <w:rPr>
          <w:rFonts w:ascii="Times New Roman" w:hAnsi="Times New Roman"/>
          <w:sz w:val="28"/>
          <w:szCs w:val="28"/>
        </w:rPr>
        <w:t xml:space="preserve">. Понятием «человеческий капитал» обозначают совокупность неотрывных от человека знаний, навыков, опыта, реализуя которые индивид создает материальные условия для себя и своих близких. </w:t>
      </w:r>
    </w:p>
    <w:p w:rsidR="005D166F" w:rsidRDefault="00C609F9" w:rsidP="005D16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6699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Рис. 1. ФУНКЦИИ ДОМОХОЗЯЙСТВА" style="width:460.5pt;height:255.75pt;visibility:visible" o:button="t">
            <v:fill o:detectmouseclick="t"/>
            <v:imagedata r:id="rId7" o:title="Рис" gain="1.25" blacklevel="-3277f"/>
          </v:shape>
        </w:pict>
      </w:r>
    </w:p>
    <w:p w:rsidR="005D166F" w:rsidRPr="005D166F" w:rsidRDefault="005D166F" w:rsidP="005D16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Рис. 1. </w:t>
      </w:r>
      <w:r>
        <w:rPr>
          <w:rFonts w:ascii="Times New Roman" w:hAnsi="Times New Roman"/>
          <w:sz w:val="28"/>
          <w:szCs w:val="28"/>
        </w:rPr>
        <w:t>Функции домохозяйства</w:t>
      </w:r>
    </w:p>
    <w:p w:rsidR="005D166F" w:rsidRDefault="005D166F" w:rsidP="005D166F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>Домохозяйства, состоящие из множества членов, обычно имеют «главу семьи» – неформального лидера. Именно ему передаются как полномочия, так и ответственность представлять интересы домохозяйства, принимать важнейшие решения и распоряжаться семейным бюджетом. В рамках домохозяйства часто встречается «раздел сфер влияния», когда при решении разных вопросов приоритет имеют разные люди (одна из типичных ситуация – муж «зарабатывает деньги», а жена воспитывает детей). При этом предполагается, что каждый из членов домохозяйства стремится по мере сил внести свою лепту в его деятельность, помогая всем своим близким. Первенство в рамках домохозяйства определяется, прежде всего, социальным статусом разных его членов и их уровнем дохода. Но большое значение имеют также и особенности характеров, желание и возможность лидировать в рамках данной малой группы. Нередки семьи, где главой фактически является как раз менее успешный во «вн</w:t>
      </w:r>
      <w:r>
        <w:rPr>
          <w:rFonts w:ascii="Times New Roman" w:hAnsi="Times New Roman"/>
          <w:sz w:val="28"/>
          <w:szCs w:val="28"/>
        </w:rPr>
        <w:t>ешнем мире» супруг или супруга.</w:t>
      </w:r>
    </w:p>
    <w:p w:rsidR="005D166F" w:rsidRDefault="005D166F" w:rsidP="005D166F">
      <w:pPr>
        <w:spacing w:before="100" w:beforeAutospacing="1" w:after="100" w:afterAutospacing="1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Существование «главы» семьи и ситуации властных отношений подразумевает наличие еще одной важной функции домохозяйства – </w:t>
      </w:r>
      <w:r w:rsidRPr="005D166F">
        <w:rPr>
          <w:rFonts w:ascii="Times New Roman" w:hAnsi="Times New Roman"/>
          <w:iCs/>
          <w:sz w:val="28"/>
          <w:szCs w:val="28"/>
        </w:rPr>
        <w:t>защиты слабых членов домохозяйств более сильными</w:t>
      </w:r>
      <w:r w:rsidRPr="005D166F">
        <w:rPr>
          <w:rFonts w:ascii="Times New Roman" w:hAnsi="Times New Roman"/>
          <w:sz w:val="28"/>
          <w:szCs w:val="28"/>
        </w:rPr>
        <w:t xml:space="preserve">. Это предполагает, прежде всего, передачу взрослым права контроля над младшими и престарелыми членами домохозяйства, взамен чего последним гарантируется забота. </w:t>
      </w:r>
      <w:bookmarkStart w:id="3" w:name="1012477-L-104"/>
    </w:p>
    <w:p w:rsidR="005D166F" w:rsidRPr="005D166F" w:rsidRDefault="005D166F" w:rsidP="005D166F">
      <w:pPr>
        <w:spacing w:before="100" w:beforeAutospacing="1" w:after="100" w:afterAutospacing="1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b/>
          <w:bCs/>
          <w:sz w:val="28"/>
          <w:szCs w:val="28"/>
        </w:rPr>
        <w:t>Роль домохозяйств в экономике</w:t>
      </w:r>
      <w:r w:rsidRPr="005D166F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Pr="005D166F">
        <w:rPr>
          <w:rFonts w:ascii="Times New Roman" w:hAnsi="Times New Roman"/>
          <w:b/>
          <w:bCs/>
          <w:color w:val="006699"/>
          <w:sz w:val="28"/>
          <w:szCs w:val="28"/>
        </w:rPr>
        <w:t xml:space="preserve"> </w:t>
      </w:r>
      <w:bookmarkEnd w:id="3"/>
      <w:r w:rsidRPr="005D166F">
        <w:rPr>
          <w:rFonts w:ascii="Times New Roman" w:hAnsi="Times New Roman"/>
          <w:sz w:val="28"/>
          <w:szCs w:val="28"/>
        </w:rPr>
        <w:t>Экономисты выделяют три основны</w:t>
      </w:r>
      <w:r>
        <w:rPr>
          <w:rFonts w:ascii="Times New Roman" w:hAnsi="Times New Roman"/>
          <w:sz w:val="28"/>
          <w:szCs w:val="28"/>
        </w:rPr>
        <w:t>х</w:t>
      </w:r>
      <w:r w:rsidRPr="005D166F">
        <w:rPr>
          <w:rFonts w:ascii="Times New Roman" w:hAnsi="Times New Roman"/>
          <w:sz w:val="28"/>
          <w:szCs w:val="28"/>
        </w:rPr>
        <w:t xml:space="preserve"> субъекта рыночного хозяйства – домохозяйство, фирма и государство. Их взаимоотношения показаны в виде модели экономического кругооборота (</w:t>
      </w:r>
      <w:r w:rsidRPr="005D166F">
        <w:rPr>
          <w:rFonts w:ascii="Times New Roman" w:hAnsi="Times New Roman"/>
          <w:iCs/>
          <w:sz w:val="28"/>
          <w:szCs w:val="28"/>
        </w:rPr>
        <w:t>см</w:t>
      </w:r>
      <w:r w:rsidRPr="005D166F">
        <w:rPr>
          <w:rFonts w:ascii="Times New Roman" w:hAnsi="Times New Roman"/>
          <w:sz w:val="28"/>
          <w:szCs w:val="28"/>
        </w:rPr>
        <w:t xml:space="preserve">. рис. 2). </w:t>
      </w:r>
    </w:p>
    <w:p w:rsidR="005D166F" w:rsidRPr="005D166F" w:rsidRDefault="00C609F9" w:rsidP="005D16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6699"/>
          <w:sz w:val="28"/>
          <w:szCs w:val="28"/>
        </w:rPr>
        <w:pict>
          <v:shape id="Рисунок 2" o:spid="_x0000_i1026" type="#_x0000_t75" alt="Рис. 2. МОДЕЛЬ ЭКОНОМИЧЕСКОГО КРУГООБОРОТА" style="width:450pt;height:228pt;visibility:visible" o:button="t">
            <v:fill o:detectmouseclick="t"/>
            <v:imagedata r:id="rId8" o:title="Рис"/>
          </v:shape>
        </w:pict>
      </w:r>
      <w:r w:rsidR="005D166F" w:rsidRPr="005D166F">
        <w:rPr>
          <w:rFonts w:ascii="Times New Roman" w:hAnsi="Times New Roman"/>
          <w:sz w:val="28"/>
          <w:szCs w:val="28"/>
        </w:rPr>
        <w:t xml:space="preserve">Рис. 2. </w:t>
      </w:r>
      <w:r w:rsidR="005D166F">
        <w:rPr>
          <w:rFonts w:ascii="Times New Roman" w:hAnsi="Times New Roman"/>
          <w:sz w:val="28"/>
          <w:szCs w:val="28"/>
        </w:rPr>
        <w:t>Модель экономического кругооборота.</w:t>
      </w:r>
    </w:p>
    <w:p w:rsidR="005D166F" w:rsidRDefault="005D166F" w:rsidP="005D166F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>Как фирмы, так и государство производны от домохозяйств. Ведь фирмы принадлежат отдельным людям, либо коллективам людей, т.е. в конечном счете материальные и нематериальные блага от функционирования фирм получают именно домохозяйства. Также и государство создано людьми и для защиты интересов граждан. Таким образом, именно домохозяйства являются первичным элементом экономической системы. Это отмечали еще в античную эпоху Ксенофонт и Аристотель, которые рассматривали саму «экономику» как науку о рациональн</w:t>
      </w:r>
      <w:r>
        <w:rPr>
          <w:rFonts w:ascii="Times New Roman" w:hAnsi="Times New Roman"/>
          <w:sz w:val="28"/>
          <w:szCs w:val="28"/>
        </w:rPr>
        <w:t>ом ведении домашнего хозяйства.</w:t>
      </w:r>
    </w:p>
    <w:p w:rsidR="005D166F" w:rsidRDefault="005D166F" w:rsidP="005D166F">
      <w:pPr>
        <w:spacing w:before="100" w:beforeAutospacing="1" w:after="100" w:afterAutospacing="1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>Модель экономического кругооборота достаточно корректна для описания индустриального общества, но ее трудно использовать для характеристики рождающегося</w:t>
      </w:r>
      <w:r w:rsidRPr="005D16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D166F">
        <w:rPr>
          <w:rFonts w:ascii="Times New Roman" w:hAnsi="Times New Roman"/>
          <w:sz w:val="28"/>
          <w:szCs w:val="28"/>
        </w:rPr>
        <w:t>постиндустриального общества. В индустриальном обществе производство в основном было вынесено за рамки домохозяйства, во «внешний мир», а дом рассматривался как место отдыха, восстановления сил. Новые средства производства – прежде всего, электронные устройства – позволяют совместить в «</w:t>
      </w:r>
      <w:r w:rsidRPr="005D166F">
        <w:rPr>
          <w:rFonts w:ascii="Times New Roman" w:hAnsi="Times New Roman"/>
          <w:i/>
          <w:iCs/>
          <w:sz w:val="28"/>
          <w:szCs w:val="28"/>
        </w:rPr>
        <w:t>электронном коттедже</w:t>
      </w:r>
      <w:r w:rsidRPr="005D166F">
        <w:rPr>
          <w:rFonts w:ascii="Times New Roman" w:hAnsi="Times New Roman"/>
          <w:sz w:val="28"/>
          <w:szCs w:val="28"/>
        </w:rPr>
        <w:t xml:space="preserve">» работу и отдых. Уже сейчас многие специалисты (программисты, дизайнеры, маркетологи, ученые-теоретики, журналисты) работают в основном у себя дома перед экраном компьютера, не тратя время на переезды из дома в офис и обратно. По мере развертывания научно-технической революции грань между домохозяйством и фирмой будет, видимо, стираться все сильнее и сильнее. </w:t>
      </w:r>
      <w:bookmarkStart w:id="4" w:name="1012477-L-105"/>
    </w:p>
    <w:p w:rsidR="005D166F" w:rsidRDefault="005D166F" w:rsidP="005D166F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b/>
          <w:bCs/>
          <w:sz w:val="28"/>
          <w:szCs w:val="28"/>
        </w:rPr>
        <w:t>Экономическое поведение домохозяйств</w:t>
      </w:r>
      <w:r w:rsidRPr="005D166F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Pr="005D166F">
        <w:rPr>
          <w:rFonts w:ascii="Times New Roman" w:hAnsi="Times New Roman"/>
          <w:b/>
          <w:bCs/>
          <w:color w:val="006699"/>
          <w:sz w:val="28"/>
          <w:szCs w:val="28"/>
        </w:rPr>
        <w:t xml:space="preserve"> </w:t>
      </w:r>
      <w:bookmarkEnd w:id="4"/>
      <w:r w:rsidRPr="005D166F">
        <w:rPr>
          <w:rFonts w:ascii="Times New Roman" w:hAnsi="Times New Roman"/>
          <w:sz w:val="28"/>
          <w:szCs w:val="28"/>
        </w:rPr>
        <w:t xml:space="preserve">Согласно доминирующей в современной неоклассической экономической науке точке зрения, в основе деятельности домохозяйств лежит универсальный принцип – рациональная максимизация благосостояния. Предполагается, что участники домохозяйств действуют как «люди-компьютеры»: имея полную информацию, они сознательно и расчетливо используют для максимизации своего благосостояния все имеющиеся возможности. </w:t>
      </w:r>
    </w:p>
    <w:p w:rsidR="005D166F" w:rsidRDefault="005D166F" w:rsidP="00686433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Реальность, однако, не совсем совпадает с этой моделью. Поведение домохозяйств во многом определяется их социальной средой, системой морали, существующими формальными ограничениями и неформальными правилами. Цели деятельности домохозяйства различаются в разных экономических системах. Если в одних обществах максимизация благосостояния означает максимизацию дохода, то в других – максимизацию своего престижа в глазах окружающих или максимизацию религиозного благочестия. Другим очевидным ограничением рациональности поведения домохозяйств является ограниченная способность людей к адекватному восприятию и обработке получаемой информации. Типичным примером является выбор покупки в супермаркете, где члену домохозяйства приходится выбирать между сотнями сортов сыра, колбасы и иных товаров. Человек не в состоянии принять полностью рациональное решение, поскольку просто не может обработать весь этот массив данных. Но ограниченность рациональности домохозяйств не снимает для них проблемы каждодневного выбора. В экономической сфере их выбор </w:t>
      </w:r>
      <w:r w:rsidR="00686433">
        <w:rPr>
          <w:rFonts w:ascii="Times New Roman" w:hAnsi="Times New Roman"/>
          <w:sz w:val="28"/>
          <w:szCs w:val="28"/>
        </w:rPr>
        <w:t>осуществляется в трех аспектах:</w:t>
      </w:r>
    </w:p>
    <w:p w:rsidR="005D166F" w:rsidRDefault="005D166F" w:rsidP="00686433">
      <w:pPr>
        <w:pStyle w:val="a7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i/>
          <w:iCs/>
          <w:sz w:val="28"/>
          <w:szCs w:val="28"/>
        </w:rPr>
        <w:t>Выбор между занятостью и досугом</w:t>
      </w:r>
      <w:r w:rsidRPr="005D166F">
        <w:rPr>
          <w:rFonts w:ascii="Times New Roman" w:hAnsi="Times New Roman"/>
          <w:sz w:val="28"/>
          <w:szCs w:val="28"/>
        </w:rPr>
        <w:t xml:space="preserve">. Необходимым условием такого выбора является личная свобода, отсутствие внеэкономического принуждения к труду (для крестьянского домохозяйства при феодализме или для советского домохозяйства этой проблемы не было). </w:t>
      </w:r>
    </w:p>
    <w:p w:rsidR="005D166F" w:rsidRDefault="005D166F" w:rsidP="00686433">
      <w:pPr>
        <w:pStyle w:val="a7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i/>
          <w:iCs/>
          <w:sz w:val="28"/>
          <w:szCs w:val="28"/>
        </w:rPr>
        <w:t>Выбор между текущим и будущим потреблением</w:t>
      </w:r>
      <w:r w:rsidRPr="005D166F">
        <w:rPr>
          <w:rFonts w:ascii="Times New Roman" w:hAnsi="Times New Roman"/>
          <w:sz w:val="28"/>
          <w:szCs w:val="28"/>
        </w:rPr>
        <w:t xml:space="preserve">, т.е. разделение своих полученных доходов на потребления и сбережения. Полученные доходы, как правило, сразу не тратятся, но могут откладываться, если текущие доходы превышают обязательные текущие расходы. </w:t>
      </w:r>
    </w:p>
    <w:p w:rsidR="005D166F" w:rsidRPr="005D166F" w:rsidRDefault="005D166F" w:rsidP="00B202FC">
      <w:pPr>
        <w:pStyle w:val="a7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Наличие сбережений диктует необходимость «портфельного» выбора вида сбережений, т.е. </w:t>
      </w:r>
      <w:r w:rsidRPr="005D166F">
        <w:rPr>
          <w:rFonts w:ascii="Times New Roman" w:hAnsi="Times New Roman"/>
          <w:i/>
          <w:iCs/>
          <w:sz w:val="28"/>
          <w:szCs w:val="28"/>
        </w:rPr>
        <w:t>выбора между хранением сбережений в наличной форме</w:t>
      </w:r>
      <w:r w:rsidRPr="005D166F">
        <w:rPr>
          <w:rFonts w:ascii="Times New Roman" w:hAnsi="Times New Roman"/>
          <w:sz w:val="28"/>
          <w:szCs w:val="28"/>
        </w:rPr>
        <w:t xml:space="preserve"> </w:t>
      </w:r>
      <w:r w:rsidRPr="005D166F">
        <w:rPr>
          <w:rFonts w:ascii="Times New Roman" w:hAnsi="Times New Roman"/>
          <w:i/>
          <w:iCs/>
          <w:sz w:val="28"/>
          <w:szCs w:val="28"/>
        </w:rPr>
        <w:t>или их инвестированием</w:t>
      </w:r>
      <w:r w:rsidRPr="005D166F">
        <w:rPr>
          <w:rFonts w:ascii="Times New Roman" w:hAnsi="Times New Roman"/>
          <w:sz w:val="28"/>
          <w:szCs w:val="28"/>
        </w:rPr>
        <w:t xml:space="preserve">, а также выбора между различными направлениями инвестирования с целью получения дохода (хранение денег в банке, вложения в акции, облигации, покупки инвалюты, недвижимости). </w:t>
      </w:r>
    </w:p>
    <w:p w:rsidR="008B60D4" w:rsidRDefault="005D166F" w:rsidP="008B60D4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bookmarkStart w:id="5" w:name="1012477-L-106"/>
      <w:r w:rsidRPr="005D166F">
        <w:rPr>
          <w:rFonts w:ascii="Times New Roman" w:hAnsi="Times New Roman"/>
          <w:b/>
          <w:bCs/>
          <w:sz w:val="28"/>
          <w:szCs w:val="28"/>
        </w:rPr>
        <w:t xml:space="preserve">Бюджет домохозяйства. </w:t>
      </w:r>
      <w:bookmarkEnd w:id="5"/>
      <w:r w:rsidRPr="005D166F">
        <w:rPr>
          <w:rFonts w:ascii="Times New Roman" w:hAnsi="Times New Roman"/>
          <w:sz w:val="28"/>
          <w:szCs w:val="28"/>
        </w:rPr>
        <w:t xml:space="preserve">Структура доходов и расходов домохозяйств во многом зависит от условий внешней среды, в которых они осуществляют свою деятельность. Вместе с тем, можно выделить наиболее важные группы как доходов, так и расходов, свойственные всем типам домохозяйств. </w:t>
      </w:r>
    </w:p>
    <w:p w:rsidR="005D166F" w:rsidRDefault="005D166F" w:rsidP="008B60D4">
      <w:pPr>
        <w:spacing w:before="100" w:beforeAutospacing="1" w:after="100" w:afterAutospacing="1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Примерные источники доходов и расходов российских домохозяйств конца 1990-х гг. представлены в таблицах 1 и 2.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2"/>
        <w:gridCol w:w="2659"/>
      </w:tblGrid>
      <w:tr w:rsidR="00686433" w:rsidRPr="004B5A55">
        <w:tc>
          <w:tcPr>
            <w:tcW w:w="9571" w:type="dxa"/>
            <w:gridSpan w:val="2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 xml:space="preserve">Таблица 1. </w:t>
            </w:r>
            <w:r w:rsidRPr="004B5A55">
              <w:rPr>
                <w:rFonts w:ascii="Times New Roman" w:hAnsi="Times New Roman"/>
                <w:b/>
                <w:bCs/>
                <w:sz w:val="24"/>
                <w:szCs w:val="24"/>
              </w:rPr>
              <w:t>Структура доходов Российских домохозяйств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b/>
                <w:bCs/>
                <w:sz w:val="24"/>
                <w:szCs w:val="24"/>
              </w:rPr>
              <w:t>Статьи доходов</w:t>
            </w:r>
          </w:p>
        </w:tc>
        <w:tc>
          <w:tcPr>
            <w:tcW w:w="2659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b/>
                <w:bCs/>
                <w:sz w:val="24"/>
                <w:szCs w:val="24"/>
              </w:rPr>
              <w:t>Среднее значение доли в бюджете, в %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Оплата труда и все виды премий</w:t>
            </w:r>
          </w:p>
        </w:tc>
        <w:tc>
          <w:tcPr>
            <w:tcW w:w="2659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Трансферты государства (пенсии, пособия, стипендии)</w:t>
            </w:r>
          </w:p>
        </w:tc>
        <w:tc>
          <w:tcPr>
            <w:tcW w:w="2659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Доходы от самостоятельной индивидуальной занятости, продажи продукции личного подсобного хозяйства</w:t>
            </w:r>
          </w:p>
        </w:tc>
        <w:tc>
          <w:tcPr>
            <w:tcW w:w="2659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Доходы от предпринимательской деятельности (зарегистрированного предприятия)</w:t>
            </w:r>
          </w:p>
        </w:tc>
        <w:tc>
          <w:tcPr>
            <w:tcW w:w="2659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Безвозмездная помощь родственников</w:t>
            </w:r>
          </w:p>
        </w:tc>
        <w:tc>
          <w:tcPr>
            <w:tcW w:w="2659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Другие доходы (наследство, выигрыши, гонорары)</w:t>
            </w:r>
          </w:p>
        </w:tc>
        <w:tc>
          <w:tcPr>
            <w:tcW w:w="2659" w:type="dxa"/>
            <w:vMerge w:val="restart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Доходы от сдачи в аренду жилья, другого имущества</w:t>
            </w:r>
          </w:p>
        </w:tc>
        <w:tc>
          <w:tcPr>
            <w:tcW w:w="2659" w:type="dxa"/>
            <w:vMerge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Доходы от продажи личного имущества</w:t>
            </w:r>
          </w:p>
        </w:tc>
        <w:tc>
          <w:tcPr>
            <w:tcW w:w="2659" w:type="dxa"/>
            <w:vMerge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Проценты по вкладам и ценным бумагам</w:t>
            </w:r>
          </w:p>
        </w:tc>
        <w:tc>
          <w:tcPr>
            <w:tcW w:w="2659" w:type="dxa"/>
            <w:vMerge/>
            <w:vAlign w:val="center"/>
          </w:tcPr>
          <w:p w:rsidR="00686433" w:rsidRPr="004B5A55" w:rsidRDefault="00686433" w:rsidP="004B5A5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6433" w:rsidRDefault="00686433" w:rsidP="005D166F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C5067D" w:rsidRPr="00B202FC" w:rsidRDefault="00C5067D" w:rsidP="005D166F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2"/>
        <w:gridCol w:w="2659"/>
      </w:tblGrid>
      <w:tr w:rsidR="008B60D4" w:rsidRPr="004B5A55">
        <w:tc>
          <w:tcPr>
            <w:tcW w:w="9571" w:type="dxa"/>
            <w:gridSpan w:val="2"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 xml:space="preserve">Таблица 1. </w:t>
            </w:r>
            <w:r w:rsidRPr="004B5A55">
              <w:rPr>
                <w:rFonts w:ascii="Times New Roman" w:hAnsi="Times New Roman"/>
                <w:b/>
                <w:bCs/>
                <w:sz w:val="24"/>
                <w:szCs w:val="24"/>
              </w:rPr>
              <w:t>Структура расходов Российских домохозяйств</w:t>
            </w:r>
          </w:p>
        </w:tc>
      </w:tr>
      <w:tr w:rsidR="00686433" w:rsidRPr="004B5A55">
        <w:tc>
          <w:tcPr>
            <w:tcW w:w="6912" w:type="dxa"/>
            <w:vAlign w:val="center"/>
          </w:tcPr>
          <w:p w:rsidR="00686433" w:rsidRPr="004B5A55" w:rsidRDefault="00686433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b/>
                <w:bCs/>
                <w:sz w:val="24"/>
                <w:szCs w:val="24"/>
              </w:rPr>
              <w:t>Статьи расходов</w:t>
            </w:r>
          </w:p>
        </w:tc>
        <w:tc>
          <w:tcPr>
            <w:tcW w:w="2659" w:type="dxa"/>
          </w:tcPr>
          <w:p w:rsidR="00686433" w:rsidRPr="004B5A55" w:rsidRDefault="008B60D4" w:rsidP="004B5A5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b/>
                <w:bCs/>
                <w:sz w:val="24"/>
                <w:szCs w:val="24"/>
              </w:rPr>
              <w:t>Среднее значение доли в бюджете, в %</w:t>
            </w: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Питание дома</w:t>
            </w:r>
          </w:p>
        </w:tc>
        <w:tc>
          <w:tcPr>
            <w:tcW w:w="2659" w:type="dxa"/>
            <w:vMerge w:val="restart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Питание вне дома (обеды во время обеденных перерывов, посещение ресторанов, кафе и т.д.)</w:t>
            </w:r>
          </w:p>
        </w:tc>
        <w:tc>
          <w:tcPr>
            <w:tcW w:w="2659" w:type="dxa"/>
            <w:vMerge/>
            <w:vAlign w:val="center"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Алкогольные напитки</w:t>
            </w:r>
          </w:p>
        </w:tc>
        <w:tc>
          <w:tcPr>
            <w:tcW w:w="2659" w:type="dxa"/>
            <w:vMerge/>
            <w:vAlign w:val="center"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Приобретение домашнего имущества, бытовой техники</w:t>
            </w:r>
          </w:p>
        </w:tc>
        <w:tc>
          <w:tcPr>
            <w:tcW w:w="2659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Расходы на приобретение, строительство, ремонт жилья</w:t>
            </w:r>
          </w:p>
        </w:tc>
        <w:tc>
          <w:tcPr>
            <w:tcW w:w="2659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Подарки, безвозмездные трансферты</w:t>
            </w:r>
          </w:p>
        </w:tc>
        <w:tc>
          <w:tcPr>
            <w:tcW w:w="2659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Вложения в собственное дело</w:t>
            </w:r>
          </w:p>
        </w:tc>
        <w:tc>
          <w:tcPr>
            <w:tcW w:w="2659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Одежда, обувь</w:t>
            </w:r>
          </w:p>
        </w:tc>
        <w:tc>
          <w:tcPr>
            <w:tcW w:w="2659" w:type="dxa"/>
            <w:vMerge w:val="restart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Предметы бытового назначения, бытовые услуги</w:t>
            </w:r>
          </w:p>
        </w:tc>
        <w:tc>
          <w:tcPr>
            <w:tcW w:w="2659" w:type="dxa"/>
            <w:vMerge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Транспортные расходы</w:t>
            </w:r>
          </w:p>
        </w:tc>
        <w:tc>
          <w:tcPr>
            <w:tcW w:w="2659" w:type="dxa"/>
            <w:vMerge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Коммунальные услуги, связь.</w:t>
            </w:r>
          </w:p>
        </w:tc>
        <w:tc>
          <w:tcPr>
            <w:tcW w:w="2659" w:type="dxa"/>
            <w:vMerge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Отдых, развлечения</w:t>
            </w:r>
          </w:p>
        </w:tc>
        <w:tc>
          <w:tcPr>
            <w:tcW w:w="2659" w:type="dxa"/>
            <w:vMerge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Образование (инвестиции в человеческий капитал)</w:t>
            </w:r>
          </w:p>
        </w:tc>
        <w:tc>
          <w:tcPr>
            <w:tcW w:w="2659" w:type="dxa"/>
            <w:vMerge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Медицинское обслуживание</w:t>
            </w:r>
          </w:p>
        </w:tc>
        <w:tc>
          <w:tcPr>
            <w:tcW w:w="2659" w:type="dxa"/>
            <w:vMerge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0D4" w:rsidRPr="004B5A55">
        <w:tc>
          <w:tcPr>
            <w:tcW w:w="6912" w:type="dxa"/>
            <w:vAlign w:val="center"/>
          </w:tcPr>
          <w:p w:rsidR="008B60D4" w:rsidRPr="004B5A55" w:rsidRDefault="008B60D4" w:rsidP="004B5A5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5A55">
              <w:rPr>
                <w:rFonts w:ascii="Times New Roman" w:hAnsi="Times New Roman"/>
                <w:sz w:val="24"/>
                <w:szCs w:val="24"/>
              </w:rPr>
              <w:t>Оплата услуг сторонних организаций и лиц (охрана, ведение домашнего хозяйства и т.п.)</w:t>
            </w:r>
          </w:p>
        </w:tc>
        <w:tc>
          <w:tcPr>
            <w:tcW w:w="2659" w:type="dxa"/>
            <w:vMerge/>
          </w:tcPr>
          <w:p w:rsidR="008B60D4" w:rsidRPr="004B5A55" w:rsidRDefault="008B60D4" w:rsidP="004B5A5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D166F" w:rsidRPr="00B202FC" w:rsidRDefault="005D166F" w:rsidP="008B60D4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B60D4" w:rsidRPr="005D166F" w:rsidRDefault="008B60D4" w:rsidP="008B60D4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vanish/>
          <w:sz w:val="28"/>
          <w:szCs w:val="28"/>
        </w:rPr>
      </w:pPr>
    </w:p>
    <w:p w:rsidR="008B60D4" w:rsidRDefault="005D166F" w:rsidP="008B60D4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В отличие от бюджета фирмы и государственного бюджета, в бюджете домохозяйства далеко не всегда ведется точный учет расходов и доходов, многие статьи расходов не планируются, финансирование отдельных статей является спорадическим и осуществляется по остаточному принципу (есть «свободные» деньги – купил билет в кино, нет их – стал смотреть телевизор). </w:t>
      </w:r>
    </w:p>
    <w:p w:rsidR="005D166F" w:rsidRPr="005D166F" w:rsidRDefault="005D166F" w:rsidP="008B60D4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Очевидно, что в бюджете домохозяйства, как правило, доходы определяют расходы. Но при этом далеко не всегда осуществляется полное и систематичное сбалансирование бюджета. Исследования показали, что домохозяйства при определении потребления часто ориентируются не на текущие доходы, а на желаемый уровень потребления и жизненные стандарты. В зависимости от фазы жизненного цикла домохозяйства может существовать устойчивая положительная либо отрицательная разница между текущими доходами и расходами. Так, молодые семьи могут в течение долгого времени жить в долг, а взрослые люди постоянно делают сбережения, чтобы использовать их в старости (рис. 3). </w:t>
      </w:r>
    </w:p>
    <w:p w:rsidR="008B60D4" w:rsidRDefault="00C609F9" w:rsidP="00B202F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6699"/>
          <w:sz w:val="28"/>
          <w:szCs w:val="28"/>
        </w:rPr>
        <w:pict>
          <v:shape id="Рисунок 3" o:spid="_x0000_i1027" type="#_x0000_t75" alt="Рис. 3. МОДЕЛЬ ДИНАМИКИ ДОХОДОВ И РАСХОДОВ семейного домохозяйства: молодая семья до момента T&lt;sub&gt;1 &lt;/sub&gt;живет в долг; на протяжении большей части жизни семьи (от T&lt;sub&gt;1 &lt;/sub&gt;до T&lt;sub&gt;2&lt;/sub&gt;) доходы превышают расходы, за счет чего люди делают сбережения; в пожилом возрасте после момента T&lt;sub&gt;2 &lt;/sub&gt;превышение расходов над доходами покрывается ранее сделанными сбережениями" style="width:361.5pt;height:122.25pt;visibility:visible" o:button="t">
            <v:fill o:detectmouseclick="t"/>
            <v:imagedata r:id="rId9" o:title="sub&gt;превышение расходов над доходами покрывается ранее сделанными сбережениями"/>
          </v:shape>
        </w:pict>
      </w:r>
    </w:p>
    <w:p w:rsidR="005D166F" w:rsidRPr="005D166F" w:rsidRDefault="005D166F" w:rsidP="005D16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Рис. 3. </w:t>
      </w:r>
      <w:r w:rsidR="008B60D4">
        <w:rPr>
          <w:rFonts w:ascii="Times New Roman" w:hAnsi="Times New Roman"/>
          <w:sz w:val="28"/>
          <w:szCs w:val="28"/>
        </w:rPr>
        <w:t>Модель динамики доходов и расходов</w:t>
      </w:r>
      <w:r w:rsidRPr="005D166F">
        <w:rPr>
          <w:rFonts w:ascii="Times New Roman" w:hAnsi="Times New Roman"/>
          <w:sz w:val="28"/>
          <w:szCs w:val="28"/>
        </w:rPr>
        <w:t xml:space="preserve"> семейного домохозяйства: молодая семья до момента T</w:t>
      </w:r>
      <w:r w:rsidRPr="005D166F">
        <w:rPr>
          <w:rFonts w:ascii="Times New Roman" w:hAnsi="Times New Roman"/>
          <w:sz w:val="28"/>
          <w:szCs w:val="28"/>
          <w:vertAlign w:val="subscript"/>
        </w:rPr>
        <w:t xml:space="preserve">1 </w:t>
      </w:r>
      <w:r w:rsidRPr="005D166F">
        <w:rPr>
          <w:rFonts w:ascii="Times New Roman" w:hAnsi="Times New Roman"/>
          <w:sz w:val="28"/>
          <w:szCs w:val="28"/>
        </w:rPr>
        <w:t>живет в долг; на протяжении большей части жизни семьи (от T</w:t>
      </w:r>
      <w:r w:rsidRPr="005D166F">
        <w:rPr>
          <w:rFonts w:ascii="Times New Roman" w:hAnsi="Times New Roman"/>
          <w:sz w:val="28"/>
          <w:szCs w:val="28"/>
          <w:vertAlign w:val="subscript"/>
        </w:rPr>
        <w:t xml:space="preserve">1 </w:t>
      </w:r>
      <w:r w:rsidRPr="005D166F">
        <w:rPr>
          <w:rFonts w:ascii="Times New Roman" w:hAnsi="Times New Roman"/>
          <w:sz w:val="28"/>
          <w:szCs w:val="28"/>
        </w:rPr>
        <w:t>до T</w:t>
      </w:r>
      <w:r w:rsidRPr="005D166F">
        <w:rPr>
          <w:rFonts w:ascii="Times New Roman" w:hAnsi="Times New Roman"/>
          <w:sz w:val="28"/>
          <w:szCs w:val="28"/>
          <w:vertAlign w:val="subscript"/>
        </w:rPr>
        <w:t>2</w:t>
      </w:r>
      <w:r w:rsidRPr="005D166F">
        <w:rPr>
          <w:rFonts w:ascii="Times New Roman" w:hAnsi="Times New Roman"/>
          <w:sz w:val="28"/>
          <w:szCs w:val="28"/>
        </w:rPr>
        <w:t>) доходы превышают расходы, за счет чего люди делают сбережения; в пожилом возрасте после момента T</w:t>
      </w:r>
      <w:r w:rsidRPr="005D166F">
        <w:rPr>
          <w:rFonts w:ascii="Times New Roman" w:hAnsi="Times New Roman"/>
          <w:sz w:val="28"/>
          <w:szCs w:val="28"/>
          <w:vertAlign w:val="subscript"/>
        </w:rPr>
        <w:t xml:space="preserve">2 </w:t>
      </w:r>
      <w:r w:rsidRPr="005D166F">
        <w:rPr>
          <w:rFonts w:ascii="Times New Roman" w:hAnsi="Times New Roman"/>
          <w:sz w:val="28"/>
          <w:szCs w:val="28"/>
        </w:rPr>
        <w:t>превышение расходов над доходами покрывается ранее сделанными сбережениями</w:t>
      </w:r>
      <w:r w:rsidR="008B60D4">
        <w:rPr>
          <w:rFonts w:ascii="Times New Roman" w:hAnsi="Times New Roman"/>
          <w:sz w:val="28"/>
          <w:szCs w:val="28"/>
        </w:rPr>
        <w:t>.</w:t>
      </w:r>
    </w:p>
    <w:p w:rsidR="008B60D4" w:rsidRDefault="005D166F" w:rsidP="008B60D4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>Особой статьей в бюджете домохозяйств являются безвозмездные дары, осуществляемые как в денежной, так и в натуральной форме (например, в форме продукции личных подсобных хозяйств). При традиционном типе семейных отношений дети, даже отделившись от родителей, оказывали им материальную помощь. В последние десятилетия существования СССР в нашей стране получила распространение другая традиция, когда родители до конца жизни</w:t>
      </w:r>
      <w:r w:rsidR="008B60D4">
        <w:rPr>
          <w:rFonts w:ascii="Times New Roman" w:hAnsi="Times New Roman"/>
          <w:sz w:val="28"/>
          <w:szCs w:val="28"/>
        </w:rPr>
        <w:t xml:space="preserve"> помогают своим взрослым детям. </w:t>
      </w:r>
      <w:r w:rsidRPr="005D166F">
        <w:rPr>
          <w:rFonts w:ascii="Times New Roman" w:hAnsi="Times New Roman"/>
          <w:sz w:val="28"/>
          <w:szCs w:val="28"/>
        </w:rPr>
        <w:t xml:space="preserve">В постсоветской России начала складываться западная индивидуалистическая модель, когда дети стремятся образовывать самостоятельные, независимые от родителей домохозяйства. </w:t>
      </w:r>
    </w:p>
    <w:p w:rsidR="008B60D4" w:rsidRDefault="005D166F" w:rsidP="008B60D4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Структура расходов домохозяйств может сильно меняться в зависимости от величины доходов. Для иллюстрации этой зависимости используют кривые Энгеля (Рис. 4). Они показывают, как меняются с ростом доходов расходы домохозяйств на разные виды товаров: на дешевые малокачественные товары (например, китайский и турецкий трикотаж) расходы падают, а на дорогие и высококачественные (например, на лицензионные видеокассеты) повышаются. Эта закономерность открыта в 19 в. немецким статистиком Эрнстом Энгелем, который, исследуя данные о расходах семей с разным уровнем дохода, установил, что с ростом дохода его доля, направляемая на продовольствие, снижается, зато доля, направляемая на жилье и на одежду, остается примерно неизменной, а доля других расходов возрастает. На основе этого закона установлен один из критериев бедности: семья считается бедной, если она тратит более 1/2 своего дохода на питание. </w:t>
      </w:r>
    </w:p>
    <w:p w:rsidR="005D166F" w:rsidRPr="005D166F" w:rsidRDefault="005D166F" w:rsidP="008B60D4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В ситуации, когда значительная часть домохозяйств только «сводит концы с концами» и не питает надежд на улучшение (так было в России 1990-х), возникает резкое падение уровня жизни, выражающееся в сокращении статей «не первой необходимости» – к ним относятся, прежде всего, расходы долгосрочного характера, связанные с образованием, лечением и обновлением имущества. </w:t>
      </w:r>
    </w:p>
    <w:p w:rsidR="005D166F" w:rsidRDefault="00C609F9" w:rsidP="005D16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6699"/>
          <w:sz w:val="28"/>
          <w:szCs w:val="28"/>
        </w:rPr>
        <w:pict>
          <v:shape id="Рисунок 4" o:spid="_x0000_i1028" type="#_x0000_t75" alt="Рис. 4. КРИВЫЕ ЭНГЕЛЯ: I – доходы, XP&lt;sub&gt;x&lt;/sub&gt; – расходы домохозяйства на приобретение товаров определенного вида: а – нормальный товар, б – некачественный товар, в – высококачественный товар" style="width:447pt;height:284.25pt;visibility:visible" o:button="t">
            <v:fill o:detectmouseclick="t"/>
            <v:imagedata r:id="rId10" o:title=" а – нормальный товар, б – некачественный товар, в – высококачественный товар"/>
          </v:shape>
        </w:pict>
      </w:r>
      <w:r w:rsidR="005D166F" w:rsidRPr="005D166F">
        <w:rPr>
          <w:rFonts w:ascii="Times New Roman" w:hAnsi="Times New Roman"/>
          <w:sz w:val="28"/>
          <w:szCs w:val="28"/>
        </w:rPr>
        <w:t xml:space="preserve">Рис. 4. </w:t>
      </w:r>
      <w:r w:rsidR="008B60D4">
        <w:rPr>
          <w:rFonts w:ascii="Times New Roman" w:hAnsi="Times New Roman"/>
          <w:sz w:val="28"/>
          <w:szCs w:val="28"/>
        </w:rPr>
        <w:t>Кривые Энгеля</w:t>
      </w:r>
      <w:r w:rsidR="005D166F" w:rsidRPr="005D166F">
        <w:rPr>
          <w:rFonts w:ascii="Times New Roman" w:hAnsi="Times New Roman"/>
          <w:sz w:val="28"/>
          <w:szCs w:val="28"/>
        </w:rPr>
        <w:t>: I – доходы, XP</w:t>
      </w:r>
      <w:r w:rsidR="005D166F" w:rsidRPr="005D166F">
        <w:rPr>
          <w:rFonts w:ascii="Times New Roman" w:hAnsi="Times New Roman"/>
          <w:sz w:val="28"/>
          <w:szCs w:val="28"/>
          <w:vertAlign w:val="subscript"/>
        </w:rPr>
        <w:t>x</w:t>
      </w:r>
      <w:r w:rsidR="005D166F" w:rsidRPr="005D166F">
        <w:rPr>
          <w:rFonts w:ascii="Times New Roman" w:hAnsi="Times New Roman"/>
          <w:sz w:val="28"/>
          <w:szCs w:val="28"/>
        </w:rPr>
        <w:t xml:space="preserve"> – расходы домохозяйства на приобретение товаров определенного вида: а – нормальный товар, б – некачественный товар, в – высококачественный товар</w:t>
      </w:r>
      <w:r w:rsidR="008B60D4">
        <w:rPr>
          <w:rFonts w:ascii="Times New Roman" w:hAnsi="Times New Roman"/>
          <w:sz w:val="28"/>
          <w:szCs w:val="28"/>
        </w:rPr>
        <w:t>.</w:t>
      </w:r>
    </w:p>
    <w:p w:rsidR="008B60D4" w:rsidRDefault="008B60D4" w:rsidP="005D16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A384C" w:rsidRDefault="003A384C" w:rsidP="005D16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948E6" w:rsidRPr="00B202FC" w:rsidRDefault="007948E6" w:rsidP="00B202FC">
      <w:pPr>
        <w:pStyle w:val="a7"/>
        <w:numPr>
          <w:ilvl w:val="0"/>
          <w:numId w:val="11"/>
        </w:numPr>
        <w:spacing w:before="100" w:beforeAutospacing="1" w:after="100" w:afterAutospacing="1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B202FC">
        <w:rPr>
          <w:rFonts w:ascii="Times New Roman" w:hAnsi="Times New Roman"/>
          <w:b/>
          <w:sz w:val="28"/>
          <w:szCs w:val="28"/>
        </w:rPr>
        <w:t>Потребительское кредитование как источник формирования финансовых ресурсов домохозяйств</w:t>
      </w:r>
    </w:p>
    <w:p w:rsidR="007948E6" w:rsidRPr="007948E6" w:rsidRDefault="007948E6" w:rsidP="007948E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7948E6">
        <w:rPr>
          <w:rFonts w:ascii="Times New Roman" w:hAnsi="Times New Roman"/>
          <w:sz w:val="28"/>
          <w:szCs w:val="28"/>
        </w:rPr>
        <w:t>Кредит выступает как передача во временное пользование материальных ценностей в денежной или товарной форме. При этом кредитные отношения проявляются в виде конкретных кредитных сделок, формы и условия которых отличаются значительным многообразием. Сущность же кредита всегда устойчива и неизменна независимо от специфики проявления, всегда сохраняет черты, присущие экономическим отношениям, лежащим в основе кредита.</w:t>
      </w:r>
    </w:p>
    <w:p w:rsidR="007948E6" w:rsidRPr="007948E6" w:rsidRDefault="007948E6" w:rsidP="007948E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7948E6">
        <w:rPr>
          <w:rFonts w:ascii="Times New Roman" w:hAnsi="Times New Roman"/>
          <w:sz w:val="28"/>
          <w:szCs w:val="28"/>
        </w:rPr>
        <w:t>Раскрывая сущностные свойства кредита, его обычно опреде</w:t>
      </w:r>
      <w:r w:rsidRPr="007948E6">
        <w:rPr>
          <w:rFonts w:ascii="Times New Roman" w:hAnsi="Times New Roman"/>
          <w:sz w:val="28"/>
          <w:szCs w:val="28"/>
        </w:rPr>
        <w:softHyphen/>
        <w:t>ляют как экономические отношения между кредитором и заем</w:t>
      </w:r>
      <w:r w:rsidRPr="007948E6">
        <w:rPr>
          <w:rFonts w:ascii="Times New Roman" w:hAnsi="Times New Roman"/>
          <w:sz w:val="28"/>
          <w:szCs w:val="28"/>
        </w:rPr>
        <w:softHyphen/>
        <w:t>щиком по поводу возвратного движения стоимости. Обособление кредитных отношений в отдельный вид происходит на основе особенностей субъектов и объекта этих отношений.</w:t>
      </w:r>
    </w:p>
    <w:p w:rsidR="007948E6" w:rsidRDefault="007948E6" w:rsidP="007948E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7948E6">
        <w:rPr>
          <w:rFonts w:ascii="Times New Roman" w:hAnsi="Times New Roman"/>
          <w:sz w:val="28"/>
          <w:szCs w:val="28"/>
        </w:rPr>
        <w:t>Субъектами кредитных отношений могут быть в принципе любые юридически самостоятельные хозяйствен</w:t>
      </w:r>
      <w:r w:rsidRPr="007948E6">
        <w:rPr>
          <w:rFonts w:ascii="Times New Roman" w:hAnsi="Times New Roman"/>
          <w:sz w:val="28"/>
          <w:szCs w:val="28"/>
        </w:rPr>
        <w:softHyphen/>
        <w:t>ные субъекты и дееспособные физические лица, вступающие в отношения по поводу временного заимствования стоимости в денежной или товарной форме. Однако данные субъекты в процессе воспроизводства одновременно являются участниками множества других отношений, возникающих по поводу движения различного рода стоимостей. Специфика кредитного отношения заключается в том, что его субъекты выступают кредиторами и заемщиками и в качестве таковых обладают характерными чертами.</w:t>
      </w:r>
    </w:p>
    <w:p w:rsidR="007948E6" w:rsidRDefault="007948E6" w:rsidP="007948E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Одной из </w:t>
      </w:r>
      <w:r w:rsidRPr="007948E6">
        <w:rPr>
          <w:rFonts w:ascii="Times New Roman" w:hAnsi="Times New Roman"/>
          <w:sz w:val="28"/>
          <w:szCs w:val="28"/>
        </w:rPr>
        <w:t>групп расходов</w:t>
      </w:r>
      <w:r>
        <w:rPr>
          <w:rFonts w:ascii="Times New Roman" w:hAnsi="Times New Roman"/>
          <w:sz w:val="28"/>
          <w:szCs w:val="28"/>
        </w:rPr>
        <w:t xml:space="preserve"> являются </w:t>
      </w:r>
      <w:r w:rsidRPr="007948E6">
        <w:rPr>
          <w:rFonts w:ascii="Times New Roman" w:hAnsi="Times New Roman"/>
          <w:bCs/>
          <w:sz w:val="28"/>
          <w:szCs w:val="28"/>
        </w:rPr>
        <w:t>сбережения и накопления домохозяйств</w:t>
      </w:r>
      <w:r w:rsidRPr="007948E6">
        <w:rPr>
          <w:rFonts w:ascii="Times New Roman" w:hAnsi="Times New Roman"/>
          <w:sz w:val="28"/>
          <w:szCs w:val="28"/>
        </w:rPr>
        <w:t>. Переход к рынку и свобода предпринимательства создали возможность для особой категории домохозяйств накапливать средства, откладывая их для приобретения дорогостоящих ценностей (земли, домов, транспортных средств) либо для капитализации путем вложения в ценные бумаги, банковские депозиты.</w:t>
      </w:r>
    </w:p>
    <w:p w:rsidR="007948E6" w:rsidRDefault="007948E6" w:rsidP="007948E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7948E6">
        <w:rPr>
          <w:rFonts w:ascii="Times New Roman" w:hAnsi="Times New Roman"/>
          <w:sz w:val="28"/>
          <w:szCs w:val="28"/>
        </w:rPr>
        <w:t xml:space="preserve">Денежные накопления и сбережения образуются у населения по разным причинам. Иногда это вынужденная мера, вызванная товарным дефицитом, или желанием накопить определенную сумму на "черный день" или на покупку дорогостоящей вещи (по этой причине накопления образуются, как в богатых, так и в бедных семьях). Другая причина, характерная для богатых семей - высокий уровень доходов, позволяющий направить часть средств на накопления, для извлечения дополнительного дохода путем вложения в ценные бумаги, банковские вклады и т.д. В целом высокий уровень семейных накоплений и их рост в условиях рынка свидетельствуют об укреплении семейных финансов. </w:t>
      </w:r>
    </w:p>
    <w:p w:rsidR="007948E6" w:rsidRDefault="007948E6" w:rsidP="007948E6">
      <w:pPr>
        <w:spacing w:before="100" w:beforeAutospacing="1" w:after="100" w:afterAutospacing="1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948E6">
        <w:rPr>
          <w:rFonts w:ascii="Times New Roman" w:hAnsi="Times New Roman"/>
          <w:sz w:val="28"/>
          <w:szCs w:val="28"/>
        </w:rPr>
        <w:t>Денежные накопления и сбережения, аккумулированные в банках, служат источником расширения кредитных отношений. Потребительский кредит пополняет денежные доходы членов домохозяйств и способствует увеличению платежеспособного спроса на товары и услуги. Особенно важен потребительский кредит для РФ, где уровень жизни относительно низок, а кредитные возможности банковской системы нуждаются в дополнительных капиталах.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202FC" w:rsidRPr="00B202FC" w:rsidRDefault="00B202FC" w:rsidP="00B202FC">
      <w:pPr>
        <w:pStyle w:val="a7"/>
        <w:numPr>
          <w:ilvl w:val="0"/>
          <w:numId w:val="11"/>
        </w:numPr>
        <w:spacing w:before="100" w:beforeAutospacing="1" w:after="100" w:afterAutospacing="1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B202FC">
        <w:rPr>
          <w:rFonts w:ascii="Times New Roman" w:hAnsi="Times New Roman"/>
          <w:b/>
          <w:sz w:val="28"/>
          <w:szCs w:val="28"/>
        </w:rPr>
        <w:t>Ипотечное кредитование населения</w:t>
      </w:r>
    </w:p>
    <w:p w:rsidR="00B202FC" w:rsidRPr="00B202FC" w:rsidRDefault="00B202FC" w:rsidP="00B202FC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Широкое использование кредита является необходимым условием нормального функционирования экономики любого государства и невозможно без серьёзного обеспечения интересов кредитора. Наиболее эффективно эти интересы могут быть защищены посредством использования сторонами залога недвижимости (ипотеки), поскольку:</w:t>
      </w:r>
    </w:p>
    <w:p w:rsidR="00B202FC" w:rsidRDefault="00B202FC" w:rsidP="00B202FC">
      <w:pPr>
        <w:numPr>
          <w:ilvl w:val="0"/>
          <w:numId w:val="4"/>
        </w:numPr>
        <w:tabs>
          <w:tab w:val="clear" w:pos="360"/>
          <w:tab w:val="num" w:pos="510"/>
        </w:tabs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недвижимость сравнительно мало подвержена риску гибели или внезапного исчезновения, а её наличие легко проверяется;</w:t>
      </w:r>
    </w:p>
    <w:p w:rsidR="00B202FC" w:rsidRPr="00B202FC" w:rsidRDefault="00B202FC" w:rsidP="00B202FC">
      <w:pPr>
        <w:numPr>
          <w:ilvl w:val="0"/>
          <w:numId w:val="4"/>
        </w:numPr>
        <w:tabs>
          <w:tab w:val="clear" w:pos="360"/>
          <w:tab w:val="num" w:pos="510"/>
        </w:tabs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недвижимость обладает осложнённой оборотоспособностью (связанной с необходимостью регистрации сделок с ней в государственных органах), что позволяет кредитору легко проконтролировать либо вообще запретить её отчуждение;</w:t>
      </w:r>
    </w:p>
    <w:p w:rsidR="00B202FC" w:rsidRPr="00B202FC" w:rsidRDefault="00B202FC" w:rsidP="00B202FC">
      <w:pPr>
        <w:numPr>
          <w:ilvl w:val="0"/>
          <w:numId w:val="4"/>
        </w:numPr>
        <w:tabs>
          <w:tab w:val="clear" w:pos="360"/>
          <w:tab w:val="num" w:pos="510"/>
        </w:tabs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стоимость недвижимости имеет тенденцию к постоянному росту, что даёт кредитору гарантии полного погашения задолженности;</w:t>
      </w:r>
    </w:p>
    <w:p w:rsidR="00B202FC" w:rsidRPr="00B202FC" w:rsidRDefault="00B202FC" w:rsidP="00B202FC">
      <w:pPr>
        <w:numPr>
          <w:ilvl w:val="0"/>
          <w:numId w:val="4"/>
        </w:numPr>
        <w:tabs>
          <w:tab w:val="clear" w:pos="360"/>
          <w:tab w:val="num" w:pos="510"/>
        </w:tabs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высокая стоимость недвижимости и риск её потери являются мощным стимулом, побуждающим должника у точному и своевременному исполнению своих обязательств.</w:t>
      </w:r>
    </w:p>
    <w:p w:rsidR="00B202FC" w:rsidRDefault="00B202FC" w:rsidP="00B202FC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iCs/>
          <w:sz w:val="28"/>
          <w:szCs w:val="28"/>
        </w:rPr>
        <w:t>Ипотека</w:t>
      </w:r>
      <w:r w:rsidRPr="00B202FC">
        <w:rPr>
          <w:rFonts w:ascii="Times New Roman" w:hAnsi="Times New Roman"/>
          <w:sz w:val="28"/>
          <w:szCs w:val="28"/>
        </w:rPr>
        <w:t xml:space="preserve"> – это предоставление ссуды под залог недвижимости.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02FC">
        <w:rPr>
          <w:rFonts w:ascii="Times New Roman" w:hAnsi="Times New Roman"/>
          <w:sz w:val="28"/>
          <w:szCs w:val="28"/>
        </w:rPr>
        <w:t>К недвижимому имуществу, которое является предметом ипотечного обязательства, относятся земельные участки, участки недр, обособленные водные объекты, леса, многолетние насаждения, здания, сооружения и всё, что прочно связано с землёй, т.е. объекты, перемещение которых без несоразмерного ущерба  их назначению невозможно.</w:t>
      </w:r>
    </w:p>
    <w:p w:rsidR="00B202FC" w:rsidRPr="00B202FC" w:rsidRDefault="00B202FC" w:rsidP="00B202FC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В залог не принимаются особо охраняемые земельные участки, муниципальное и государственное имущество, а также имущество, в отношении которого факт приватизации признан недействительным.</w:t>
      </w:r>
    </w:p>
    <w:p w:rsidR="00B202FC" w:rsidRPr="00B202FC" w:rsidRDefault="00B202FC" w:rsidP="00B202FC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 xml:space="preserve"> Но наибольший интерес представляет ипотечное кредитование жилья, т.к. жильё в рыночной экономике - наи</w:t>
      </w:r>
      <w:r w:rsidRPr="00B202FC">
        <w:rPr>
          <w:rFonts w:ascii="Times New Roman" w:hAnsi="Times New Roman"/>
          <w:sz w:val="28"/>
          <w:szCs w:val="28"/>
        </w:rPr>
        <w:softHyphen/>
        <w:t>более представительный индикатор ро</w:t>
      </w:r>
      <w:r w:rsidRPr="00B202FC">
        <w:rPr>
          <w:rFonts w:ascii="Times New Roman" w:hAnsi="Times New Roman"/>
          <w:sz w:val="28"/>
          <w:szCs w:val="28"/>
        </w:rPr>
        <w:softHyphen/>
        <w:t>ста, отражающий динамику развития раз</w:t>
      </w:r>
      <w:r w:rsidRPr="00B202FC">
        <w:rPr>
          <w:rFonts w:ascii="Times New Roman" w:hAnsi="Times New Roman"/>
          <w:sz w:val="28"/>
          <w:szCs w:val="28"/>
        </w:rPr>
        <w:softHyphen/>
        <w:t>личных секторов экономики и уверен</w:t>
      </w:r>
      <w:r w:rsidRPr="00B202FC">
        <w:rPr>
          <w:rFonts w:ascii="Times New Roman" w:hAnsi="Times New Roman"/>
          <w:sz w:val="28"/>
          <w:szCs w:val="28"/>
        </w:rPr>
        <w:softHyphen/>
        <w:t>ность населения в своем будущем, в бу</w:t>
      </w:r>
      <w:r w:rsidRPr="00B202FC">
        <w:rPr>
          <w:rFonts w:ascii="Times New Roman" w:hAnsi="Times New Roman"/>
          <w:sz w:val="28"/>
          <w:szCs w:val="28"/>
        </w:rPr>
        <w:softHyphen/>
        <w:t>дущем страны в целом.</w:t>
      </w:r>
    </w:p>
    <w:p w:rsidR="00B202FC" w:rsidRPr="00B202FC" w:rsidRDefault="00B202FC" w:rsidP="002E7458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 xml:space="preserve"> В настоящее время в стране созданы все предпосылки, как на федеральном, так и региональном уровнях для начала реализации системы ипотечного жилищ</w:t>
      </w:r>
      <w:r w:rsidRPr="00B202FC">
        <w:rPr>
          <w:rFonts w:ascii="Times New Roman" w:hAnsi="Times New Roman"/>
          <w:sz w:val="28"/>
          <w:szCs w:val="28"/>
        </w:rPr>
        <w:softHyphen/>
        <w:t>ного кредитования:</w:t>
      </w:r>
    </w:p>
    <w:p w:rsidR="00B202FC" w:rsidRPr="00B202FC" w:rsidRDefault="00B202FC" w:rsidP="002E7458">
      <w:pPr>
        <w:pStyle w:val="a7"/>
        <w:numPr>
          <w:ilvl w:val="0"/>
          <w:numId w:val="13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приватизировано 55% жилья, что составляет около 1 миллиарда квадратных метров жилого фонда общей стоимости не менее 300 миллиардов долла</w:t>
      </w:r>
      <w:r w:rsidRPr="00B202FC">
        <w:rPr>
          <w:rFonts w:ascii="Times New Roman" w:hAnsi="Times New Roman"/>
          <w:sz w:val="28"/>
          <w:szCs w:val="28"/>
        </w:rPr>
        <w:softHyphen/>
        <w:t>ров, и создает основу формирую</w:t>
      </w:r>
      <w:r w:rsidRPr="00B202FC">
        <w:rPr>
          <w:rFonts w:ascii="Times New Roman" w:hAnsi="Times New Roman"/>
          <w:sz w:val="28"/>
          <w:szCs w:val="28"/>
        </w:rPr>
        <w:softHyphen/>
        <w:t>щегося вторичного рынка жилья;</w:t>
      </w:r>
    </w:p>
    <w:p w:rsidR="00B202FC" w:rsidRPr="00B202FC" w:rsidRDefault="00B202FC" w:rsidP="002E7458">
      <w:pPr>
        <w:pStyle w:val="a7"/>
        <w:numPr>
          <w:ilvl w:val="0"/>
          <w:numId w:val="13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приняты Федеральный закон "О государственной регистрации прав на недвижимое имущество и сде</w:t>
      </w:r>
      <w:r w:rsidRPr="00B202FC">
        <w:rPr>
          <w:rFonts w:ascii="Times New Roman" w:hAnsi="Times New Roman"/>
          <w:sz w:val="28"/>
          <w:szCs w:val="28"/>
        </w:rPr>
        <w:softHyphen/>
        <w:t>лок с ним" и Федеральный закон "Об ипотеке (залоге н</w:t>
      </w:r>
      <w:r w:rsidRPr="00B202FC">
        <w:rPr>
          <w:rFonts w:ascii="Times New Roman" w:hAnsi="Times New Roman"/>
          <w:i/>
          <w:iCs/>
          <w:sz w:val="28"/>
          <w:szCs w:val="28"/>
        </w:rPr>
        <w:t>е</w:t>
      </w:r>
      <w:r w:rsidRPr="00B202FC">
        <w:rPr>
          <w:rFonts w:ascii="Times New Roman" w:hAnsi="Times New Roman"/>
          <w:sz w:val="28"/>
          <w:szCs w:val="28"/>
        </w:rPr>
        <w:t>движимости)", закладывающие правовую базу для функционирования сис</w:t>
      </w:r>
      <w:r w:rsidRPr="00B202FC">
        <w:rPr>
          <w:rFonts w:ascii="Times New Roman" w:hAnsi="Times New Roman"/>
          <w:sz w:val="28"/>
          <w:szCs w:val="28"/>
        </w:rPr>
        <w:softHyphen/>
        <w:t>темы ипотечного кредитования;</w:t>
      </w:r>
    </w:p>
    <w:p w:rsidR="00B202FC" w:rsidRPr="00B202FC" w:rsidRDefault="00B202FC" w:rsidP="002E7458">
      <w:pPr>
        <w:pStyle w:val="a7"/>
        <w:numPr>
          <w:ilvl w:val="0"/>
          <w:numId w:val="13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Федеральной комиссией по рын</w:t>
      </w:r>
      <w:r w:rsidRPr="00B202FC">
        <w:rPr>
          <w:rFonts w:ascii="Times New Roman" w:hAnsi="Times New Roman"/>
          <w:sz w:val="28"/>
          <w:szCs w:val="28"/>
        </w:rPr>
        <w:softHyphen/>
        <w:t>ку ценных бумаг с участием Гос</w:t>
      </w:r>
      <w:r w:rsidRPr="00B202FC">
        <w:rPr>
          <w:rFonts w:ascii="Times New Roman" w:hAnsi="Times New Roman"/>
          <w:sz w:val="28"/>
          <w:szCs w:val="28"/>
        </w:rPr>
        <w:softHyphen/>
        <w:t>строя России начата работа по разработке стандартов эмиссии дол</w:t>
      </w:r>
      <w:r w:rsidRPr="00B202FC">
        <w:rPr>
          <w:rFonts w:ascii="Times New Roman" w:hAnsi="Times New Roman"/>
          <w:sz w:val="28"/>
          <w:szCs w:val="28"/>
        </w:rPr>
        <w:softHyphen/>
        <w:t>госрочных ипотечных ценных бу</w:t>
      </w:r>
      <w:r w:rsidRPr="00B202FC">
        <w:rPr>
          <w:rFonts w:ascii="Times New Roman" w:hAnsi="Times New Roman"/>
          <w:sz w:val="28"/>
          <w:szCs w:val="28"/>
        </w:rPr>
        <w:softHyphen/>
        <w:t xml:space="preserve">маг;   </w:t>
      </w:r>
    </w:p>
    <w:p w:rsidR="00B202FC" w:rsidRPr="00B202FC" w:rsidRDefault="00B202FC" w:rsidP="002E7458">
      <w:pPr>
        <w:pStyle w:val="a7"/>
        <w:numPr>
          <w:ilvl w:val="0"/>
          <w:numId w:val="13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законодательно оформлена де</w:t>
      </w:r>
      <w:r w:rsidRPr="00B202FC">
        <w:rPr>
          <w:rFonts w:ascii="Times New Roman" w:hAnsi="Times New Roman"/>
          <w:sz w:val="28"/>
          <w:szCs w:val="28"/>
        </w:rPr>
        <w:softHyphen/>
        <w:t>ятельность всех профессиональных субъектов ипотечного рынка (оце</w:t>
      </w:r>
      <w:r w:rsidRPr="00B202FC">
        <w:rPr>
          <w:rFonts w:ascii="Times New Roman" w:hAnsi="Times New Roman"/>
          <w:sz w:val="28"/>
          <w:szCs w:val="28"/>
        </w:rPr>
        <w:softHyphen/>
        <w:t>ночных, риэлторских, страховых компаний).</w:t>
      </w:r>
    </w:p>
    <w:p w:rsidR="00C5067D" w:rsidRPr="00B202FC" w:rsidRDefault="00B202FC" w:rsidP="00C5067D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sz w:val="28"/>
          <w:szCs w:val="28"/>
        </w:rPr>
        <w:t>При ипотечном кредитовании займы предоставляются на длительный срок, который растягивает погашение кредита во вре</w:t>
      </w:r>
      <w:r w:rsidRPr="00B202FC">
        <w:rPr>
          <w:rFonts w:ascii="Times New Roman" w:hAnsi="Times New Roman"/>
          <w:sz w:val="28"/>
          <w:szCs w:val="28"/>
        </w:rPr>
        <w:softHyphen/>
        <w:t>мени, уменьшая, таким образом, размер ежемесячных выплат. При этом куплен</w:t>
      </w:r>
      <w:r w:rsidRPr="00B202FC">
        <w:rPr>
          <w:rFonts w:ascii="Times New Roman" w:hAnsi="Times New Roman"/>
          <w:sz w:val="28"/>
          <w:szCs w:val="28"/>
        </w:rPr>
        <w:softHyphen/>
        <w:t>ное жилье служит в качестве обеспече</w:t>
      </w:r>
      <w:r w:rsidRPr="00B202FC">
        <w:rPr>
          <w:rFonts w:ascii="Times New Roman" w:hAnsi="Times New Roman"/>
          <w:sz w:val="28"/>
          <w:szCs w:val="28"/>
        </w:rPr>
        <w:softHyphen/>
        <w:t>ния займа (залога) и в случае неуплаты займа собственность изымается банком и продается, чтобы полностью распла</w:t>
      </w:r>
      <w:r w:rsidRPr="00B202FC">
        <w:rPr>
          <w:rFonts w:ascii="Times New Roman" w:hAnsi="Times New Roman"/>
          <w:sz w:val="28"/>
          <w:szCs w:val="28"/>
        </w:rPr>
        <w:softHyphen/>
        <w:t>титься за кредит.</w:t>
      </w:r>
    </w:p>
    <w:p w:rsidR="00B202FC" w:rsidRPr="00B202FC" w:rsidRDefault="00B202FC" w:rsidP="00C5067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202FC">
        <w:rPr>
          <w:rFonts w:ascii="Times New Roman" w:hAnsi="Times New Roman"/>
          <w:b/>
          <w:bCs/>
          <w:sz w:val="28"/>
          <w:szCs w:val="28"/>
        </w:rPr>
        <w:t>Основные участники ипотечного кредитования:</w:t>
      </w:r>
    </w:p>
    <w:p w:rsidR="002E7458" w:rsidRDefault="00B202FC" w:rsidP="002E745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>Заемщики – физические и юридические лица, обратившиеся за получением ипотечного кредита, квалифицированные кредитором как надёжные и платёжеспособные и, на основании этого, получившие ипотечный кредит, добровольно предоставляющие уже имеющееся у них собственности и/или приобретаемое на средства кредита жильё в залог и способные внести авансовые платежи при приобретении жилья;</w:t>
      </w:r>
    </w:p>
    <w:p w:rsidR="002E7458" w:rsidRDefault="00B202FC" w:rsidP="002E745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>Кредиторы – банки и другие финансовые кредитные уч</w:t>
      </w:r>
      <w:r w:rsidRPr="002E7458">
        <w:rPr>
          <w:rFonts w:ascii="Times New Roman" w:hAnsi="Times New Roman"/>
          <w:sz w:val="28"/>
          <w:szCs w:val="28"/>
        </w:rPr>
        <w:softHyphen/>
        <w:t>реждения, предоставляющие ипотечные кредиты за</w:t>
      </w:r>
      <w:r w:rsidRPr="002E7458">
        <w:rPr>
          <w:rFonts w:ascii="Times New Roman" w:hAnsi="Times New Roman"/>
          <w:sz w:val="28"/>
          <w:szCs w:val="28"/>
        </w:rPr>
        <w:softHyphen/>
        <w:t>емщикам на основании оценки их кредитоспособности и осуществляющие последующее обслуживание данных ипотечных кредитов;</w:t>
      </w:r>
    </w:p>
    <w:p w:rsidR="002E7458" w:rsidRDefault="002E7458" w:rsidP="002E745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5067D">
        <w:rPr>
          <w:rFonts w:ascii="Times New Roman" w:hAnsi="Times New Roman"/>
          <w:sz w:val="28"/>
          <w:szCs w:val="28"/>
        </w:rPr>
        <w:t xml:space="preserve">родавцы жилья – </w:t>
      </w:r>
      <w:r w:rsidR="00B202FC" w:rsidRPr="002E7458">
        <w:rPr>
          <w:rFonts w:ascii="Times New Roman" w:hAnsi="Times New Roman"/>
          <w:sz w:val="28"/>
          <w:szCs w:val="28"/>
        </w:rPr>
        <w:t>физические и юридические лица, продающие собственное жильё или жильё, принадлежащее другим физическим и юридическим лицам по  их поручению;</w:t>
      </w:r>
    </w:p>
    <w:p w:rsidR="002E7458" w:rsidRDefault="002E7458" w:rsidP="002E745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B202FC" w:rsidRPr="002E7458">
        <w:rPr>
          <w:rFonts w:ascii="Times New Roman" w:hAnsi="Times New Roman"/>
          <w:sz w:val="28"/>
          <w:szCs w:val="28"/>
        </w:rPr>
        <w:t>иэлторские организации – лицензированные продавцы жилья, осуществляющие продажу жилья по поручению других участников рынка, из собственных жилищных фондов, а также участвующие в организации и проведении торгов по реализации жилья, на которое наложено взыскание;</w:t>
      </w:r>
    </w:p>
    <w:p w:rsidR="002E7458" w:rsidRDefault="002E7458" w:rsidP="002E745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B202FC" w:rsidRPr="002E7458">
        <w:rPr>
          <w:rFonts w:ascii="Times New Roman" w:hAnsi="Times New Roman"/>
          <w:sz w:val="28"/>
          <w:szCs w:val="28"/>
        </w:rPr>
        <w:t>траховые компании – лицензированные страховые компании,  осуществляющие страхование заложенного жилья, страхование жизни и трудоспособности заёмщика и страхование гражданско-правовой ответственности участников ипотечного рынка;</w:t>
      </w:r>
    </w:p>
    <w:p w:rsidR="002E7458" w:rsidRDefault="002E7458" w:rsidP="002E745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B202FC" w:rsidRPr="002E7458">
        <w:rPr>
          <w:rFonts w:ascii="Times New Roman" w:hAnsi="Times New Roman"/>
          <w:sz w:val="28"/>
          <w:szCs w:val="28"/>
        </w:rPr>
        <w:t>ценочные агентства – лицензированные страховые компании, осуществляющие независимую профессиональную оценку жилых помещений, являющихся предметом залога при ипотеке;</w:t>
      </w:r>
    </w:p>
    <w:p w:rsidR="002E7458" w:rsidRDefault="002E7458" w:rsidP="002E745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B202FC" w:rsidRPr="002E7458">
        <w:rPr>
          <w:rFonts w:ascii="Times New Roman" w:hAnsi="Times New Roman"/>
          <w:sz w:val="28"/>
          <w:szCs w:val="28"/>
        </w:rPr>
        <w:t>ператоры вторичного ипотечного рынка – юридические лица, осуществляющие выкуп ипотечных кредитов у первичных кредиторов и выпускающие на их основании ценные бумаги;</w:t>
      </w:r>
    </w:p>
    <w:p w:rsidR="002E7458" w:rsidRDefault="002E7458" w:rsidP="002E745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B202FC" w:rsidRPr="002E7458">
        <w:rPr>
          <w:rFonts w:ascii="Times New Roman" w:hAnsi="Times New Roman"/>
          <w:sz w:val="28"/>
          <w:szCs w:val="28"/>
        </w:rPr>
        <w:t>нвесторы – юридические и физические лица, приобретающие ценные бумаги операторов вторичного ипотечного рынка (в основном институциональные инвесторы –  пенсионные фонда, страховые компании);</w:t>
      </w:r>
    </w:p>
    <w:p w:rsidR="002E7458" w:rsidRDefault="00B202FC" w:rsidP="00C5067D">
      <w:pPr>
        <w:pStyle w:val="a7"/>
        <w:numPr>
          <w:ilvl w:val="0"/>
          <w:numId w:val="14"/>
        </w:numPr>
        <w:tabs>
          <w:tab w:val="left" w:pos="851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>Правительство – регулирует первичный и вторичный ипотечные рынки, предоставляет поручительства инвесторам по ценным бумагам, участвует в управлении операторов вторичного ипотечного рынка.</w:t>
      </w:r>
    </w:p>
    <w:p w:rsidR="002E7458" w:rsidRDefault="00B202FC" w:rsidP="002E7458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iCs/>
          <w:sz w:val="28"/>
          <w:szCs w:val="28"/>
        </w:rPr>
        <w:t>Первичный рынок</w:t>
      </w:r>
      <w:r w:rsidRPr="002E7458">
        <w:rPr>
          <w:rFonts w:ascii="Times New Roman" w:hAnsi="Times New Roman"/>
          <w:sz w:val="28"/>
          <w:szCs w:val="28"/>
        </w:rPr>
        <w:t xml:space="preserve"> определяется взаимодействием заемщика и бан</w:t>
      </w:r>
      <w:r w:rsidRPr="002E7458">
        <w:rPr>
          <w:rFonts w:ascii="Times New Roman" w:hAnsi="Times New Roman"/>
          <w:sz w:val="28"/>
          <w:szCs w:val="28"/>
        </w:rPr>
        <w:softHyphen/>
        <w:t xml:space="preserve">ка, а его инструментами являются собственно ипотечные кредиты. Цепочка </w:t>
      </w:r>
      <w:r w:rsidR="002E7458" w:rsidRPr="002E7458">
        <w:rPr>
          <w:rFonts w:ascii="Times New Roman" w:hAnsi="Times New Roman"/>
          <w:iCs/>
          <w:sz w:val="28"/>
          <w:szCs w:val="28"/>
        </w:rPr>
        <w:t>банк-</w:t>
      </w:r>
      <w:r w:rsidRPr="002E7458">
        <w:rPr>
          <w:rFonts w:ascii="Times New Roman" w:hAnsi="Times New Roman"/>
          <w:iCs/>
          <w:sz w:val="28"/>
          <w:szCs w:val="28"/>
        </w:rPr>
        <w:t>посредник</w:t>
      </w:r>
      <w:r w:rsidR="002E7458" w:rsidRPr="002E7458">
        <w:rPr>
          <w:rFonts w:ascii="Times New Roman" w:hAnsi="Times New Roman"/>
          <w:iCs/>
          <w:sz w:val="28"/>
          <w:szCs w:val="28"/>
        </w:rPr>
        <w:t>-</w:t>
      </w:r>
      <w:r w:rsidRPr="002E7458">
        <w:rPr>
          <w:rFonts w:ascii="Times New Roman" w:hAnsi="Times New Roman"/>
          <w:iCs/>
          <w:sz w:val="28"/>
          <w:szCs w:val="28"/>
        </w:rPr>
        <w:t>инвес</w:t>
      </w:r>
      <w:r w:rsidRPr="002E7458">
        <w:rPr>
          <w:rFonts w:ascii="Times New Roman" w:hAnsi="Times New Roman"/>
          <w:iCs/>
          <w:sz w:val="28"/>
          <w:szCs w:val="28"/>
        </w:rPr>
        <w:softHyphen/>
        <w:t>тор</w:t>
      </w:r>
      <w:r w:rsidRPr="002E7458">
        <w:rPr>
          <w:rFonts w:ascii="Times New Roman" w:hAnsi="Times New Roman"/>
          <w:sz w:val="28"/>
          <w:szCs w:val="28"/>
        </w:rPr>
        <w:t xml:space="preserve"> составляет содержание </w:t>
      </w:r>
      <w:r w:rsidRPr="002E7458">
        <w:rPr>
          <w:rFonts w:ascii="Times New Roman" w:hAnsi="Times New Roman"/>
          <w:iCs/>
          <w:sz w:val="28"/>
          <w:szCs w:val="28"/>
        </w:rPr>
        <w:t>вторичного ипотечного рынка,</w:t>
      </w:r>
      <w:r w:rsidRPr="002E7458">
        <w:rPr>
          <w:rFonts w:ascii="Times New Roman" w:hAnsi="Times New Roman"/>
          <w:sz w:val="28"/>
          <w:szCs w:val="28"/>
        </w:rPr>
        <w:t xml:space="preserve"> инстру</w:t>
      </w:r>
      <w:r w:rsidRPr="002E7458">
        <w:rPr>
          <w:rFonts w:ascii="Times New Roman" w:hAnsi="Times New Roman"/>
          <w:sz w:val="28"/>
          <w:szCs w:val="28"/>
        </w:rPr>
        <w:softHyphen/>
        <w:t>ментами которого являются ценные бумаги, обеспеченные ипотечными кредитами.</w:t>
      </w:r>
    </w:p>
    <w:p w:rsidR="002E7458" w:rsidRDefault="002E7458" w:rsidP="002E7458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>В настоящее время в Российской Федерации существует пять основных проблем, сдерживающих развитие ипотеки:</w:t>
      </w:r>
    </w:p>
    <w:p w:rsidR="002E7458" w:rsidRDefault="002E7458" w:rsidP="002E7458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>1. Сроки кредитования. По своей логике кредит на приобретение жилья должен быть долгосрочным, на 10-15 лет, как это было принято в мировой практике. Однако реальные сроки предоставляемых кредитов большинством отечественных банков составляют 3-4 года (несмотря на то, что в рекламных материалах декларируется срок до 10 лет).</w:t>
      </w:r>
    </w:p>
    <w:p w:rsidR="002E7458" w:rsidRDefault="002E7458" w:rsidP="002E7458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 xml:space="preserve">2.  Отсутствие ресурсной базы. Для того, чтобы сделать долгосрочное кредитование массовым продуктом кредитной организации и в то же время соблюсти все требования ликвидности, банк должен привлечь денежные средства на такой же длительный срок. Сегодня это сделать практически невозможно. Единственный выход в данном случае – привлечение целевого финансирования от иностранных фондов (например, Американский инвестиционный фонд </w:t>
      </w:r>
      <w:r>
        <w:rPr>
          <w:rFonts w:ascii="Times New Roman" w:hAnsi="Times New Roman"/>
          <w:sz w:val="28"/>
          <w:szCs w:val="28"/>
        </w:rPr>
        <w:t>или средства местных бюджетов).</w:t>
      </w:r>
    </w:p>
    <w:p w:rsidR="002E7458" w:rsidRDefault="002E7458" w:rsidP="002E7458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>3. Трудности оценки кредитоспособности заёмщика. Как известно, оценка платёжеспособности физического лица базируется на сопоставлении доходов (заработной платы, дивидендов, арендных платежей и т.п.) и расходов (на питание, одежду, оплату квартиры, отдых, выплаты по другим кредитам и т.п.). Однако подтвердить величину зарплаты – основного источника доходов – могут немногие граждане. Это, в основном, сотрудники инофирм и госбюджетных организаций. Главная же целевая группа – сотрудники российских коммерческих структур – получают заработную плату по страховым, кредитным схемам или просто наличными денежными средствами и не могут представить официальной справки, подтв</w:t>
      </w:r>
      <w:r>
        <w:rPr>
          <w:rFonts w:ascii="Times New Roman" w:hAnsi="Times New Roman"/>
          <w:sz w:val="28"/>
          <w:szCs w:val="28"/>
        </w:rPr>
        <w:t>ерждающей реальную её величину.</w:t>
      </w:r>
    </w:p>
    <w:p w:rsidR="002E7458" w:rsidRDefault="002E7458" w:rsidP="002E7458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>4. Валюта кредитования. В настоящее время стоимость квадратного метра жилья фиксируется в долларах США. Банки предпочитают выдавать кредиты также в иностранной валюте, в то время как у большинства населения заработная плата установлена и выплачивается в рублях. В данной ситуации как банки, так и граждане опасаются повторения ситуации 1998 года, когда зарплата за 3 месяца уменьшилась в валютном эквиваленте в 4 раза, что повлекло за собой р</w:t>
      </w:r>
      <w:r>
        <w:rPr>
          <w:rFonts w:ascii="Times New Roman" w:hAnsi="Times New Roman"/>
          <w:sz w:val="28"/>
          <w:szCs w:val="28"/>
        </w:rPr>
        <w:t>езкий рост невозврата кредитов.</w:t>
      </w:r>
    </w:p>
    <w:p w:rsidR="002E7458" w:rsidRPr="002E7458" w:rsidRDefault="002E7458" w:rsidP="002E7458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E7458">
        <w:rPr>
          <w:rFonts w:ascii="Times New Roman" w:hAnsi="Times New Roman"/>
          <w:sz w:val="28"/>
          <w:szCs w:val="28"/>
        </w:rPr>
        <w:t>5. Неадаптированность ряда ипотечных программ, финансируемых зарубежными инвесторами, к российским условиям. Например, программа ипотечного кредитования российских банков совместно с Американским инвестиционным фондом слишком «идеальна» для отечественного рынка в современных условиях. Кредит может получить лишь тот, у кого зарплата (причём высокая) выплачивается официально.</w:t>
      </w:r>
    </w:p>
    <w:p w:rsidR="007948E6" w:rsidRPr="007948E6" w:rsidRDefault="007948E6" w:rsidP="007948E6">
      <w:pPr>
        <w:spacing w:before="100" w:beforeAutospacing="1" w:after="100" w:afterAutospacing="1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D166F" w:rsidRDefault="005D166F" w:rsidP="008B60D4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5D166F">
        <w:rPr>
          <w:rFonts w:ascii="Times New Roman" w:hAnsi="Times New Roman"/>
          <w:sz w:val="28"/>
          <w:szCs w:val="28"/>
        </w:rPr>
        <w:t xml:space="preserve"> </w:t>
      </w:r>
    </w:p>
    <w:p w:rsidR="002E7458" w:rsidRDefault="002E7458" w:rsidP="008B60D4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C5067D" w:rsidRDefault="00C5067D" w:rsidP="008B60D4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2E7458" w:rsidRDefault="002E7458" w:rsidP="002E7458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E7458">
        <w:rPr>
          <w:rFonts w:ascii="Times New Roman" w:hAnsi="Times New Roman"/>
          <w:b/>
          <w:sz w:val="28"/>
          <w:szCs w:val="28"/>
        </w:rPr>
        <w:t>Тесты</w:t>
      </w:r>
    </w:p>
    <w:p w:rsidR="00633ABF" w:rsidRDefault="00633ABF" w:rsidP="00633ABF">
      <w:pPr>
        <w:pStyle w:val="a7"/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33ABF" w:rsidRPr="00633ABF" w:rsidRDefault="00633ABF" w:rsidP="006E5CCA">
      <w:pPr>
        <w:pStyle w:val="a7"/>
        <w:numPr>
          <w:ilvl w:val="0"/>
          <w:numId w:val="18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33ABF">
        <w:rPr>
          <w:rFonts w:ascii="Times New Roman" w:hAnsi="Times New Roman"/>
          <w:b/>
          <w:sz w:val="28"/>
          <w:szCs w:val="28"/>
        </w:rPr>
        <w:t xml:space="preserve">Самая дешевая форма безналичных расчетов: </w:t>
      </w:r>
    </w:p>
    <w:p w:rsidR="00633ABF" w:rsidRDefault="00C65E79" w:rsidP="006E5CCA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1</w:t>
      </w:r>
      <w:r w:rsidR="00633ABF"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  <w:lang w:val="en-US"/>
        </w:rPr>
        <w:t>Платежн</w:t>
      </w:r>
      <w:r>
        <w:rPr>
          <w:rFonts w:ascii="Times New Roman" w:hAnsi="Times New Roman"/>
          <w:sz w:val="28"/>
          <w:szCs w:val="28"/>
        </w:rPr>
        <w:t>ыми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поручениями</w:t>
      </w:r>
    </w:p>
    <w:p w:rsidR="00633ABF" w:rsidRPr="00633ABF" w:rsidRDefault="00633ABF" w:rsidP="00633ABF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E5CCA" w:rsidRDefault="00633ABF" w:rsidP="006E5CCA">
      <w:pPr>
        <w:pStyle w:val="a7"/>
        <w:numPr>
          <w:ilvl w:val="0"/>
          <w:numId w:val="18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33ABF">
        <w:rPr>
          <w:rFonts w:ascii="Times New Roman" w:hAnsi="Times New Roman"/>
          <w:b/>
          <w:sz w:val="28"/>
          <w:szCs w:val="28"/>
        </w:rPr>
        <w:t>Эмитентом при аккредитивной форме расчетов называется:</w:t>
      </w:r>
    </w:p>
    <w:p w:rsidR="00633ABF" w:rsidRPr="006E5CCA" w:rsidRDefault="00633ABF" w:rsidP="006E5CCA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E5CCA">
        <w:rPr>
          <w:rFonts w:ascii="Times New Roman" w:hAnsi="Times New Roman"/>
          <w:sz w:val="28"/>
          <w:szCs w:val="28"/>
        </w:rPr>
        <w:t>2). Банк покупателя</w:t>
      </w:r>
      <w:r w:rsidR="006E5CCA">
        <w:rPr>
          <w:rFonts w:ascii="Times New Roman" w:hAnsi="Times New Roman"/>
          <w:sz w:val="28"/>
          <w:szCs w:val="28"/>
        </w:rPr>
        <w:t>;</w:t>
      </w:r>
    </w:p>
    <w:p w:rsidR="00633ABF" w:rsidRPr="00633ABF" w:rsidRDefault="006E5CCA" w:rsidP="006E5CCA">
      <w:pPr>
        <w:pStyle w:val="a7"/>
        <w:spacing w:before="100" w:beforeAutospacing="1" w:after="100" w:afterAutospacing="1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ГК РФ Часть 2 </w:t>
      </w:r>
      <w:r w:rsidR="00633ABF" w:rsidRPr="00633ABF">
        <w:rPr>
          <w:rFonts w:ascii="Times New Roman" w:hAnsi="Times New Roman"/>
          <w:sz w:val="28"/>
          <w:szCs w:val="28"/>
        </w:rPr>
        <w:t>Статья 867. Общие положения о расчетах по аккредитиву</w:t>
      </w:r>
    </w:p>
    <w:p w:rsidR="00633ABF" w:rsidRPr="00633ABF" w:rsidRDefault="00633ABF" w:rsidP="006E5CCA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3ABF">
        <w:rPr>
          <w:rFonts w:ascii="Times New Roman" w:hAnsi="Times New Roman"/>
          <w:sz w:val="28"/>
          <w:szCs w:val="28"/>
        </w:rPr>
        <w:t>1. При расчетах по аккредитиву банк, действующий по поручению плательщика об открытии аккредитива и в соответствии с его указанием (банк-эмитент), обязуется произвести платежи получателю средств или оплатить, акцептовать или учесть переводной вексель либо дать полномочие другому банку (исполняющему банку) произвести платежи получателю средств или оплатить, акцептовать или учесть переводной вексель.</w:t>
      </w:r>
    </w:p>
    <w:p w:rsidR="00633ABF" w:rsidRDefault="00633ABF" w:rsidP="00633ABF">
      <w:pPr>
        <w:pStyle w:val="a7"/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</w:p>
    <w:p w:rsidR="00633ABF" w:rsidRPr="006E5CCA" w:rsidRDefault="006E5CCA" w:rsidP="00633ABF">
      <w:pPr>
        <w:pStyle w:val="a7"/>
        <w:numPr>
          <w:ilvl w:val="0"/>
          <w:numId w:val="18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E5CCA">
        <w:rPr>
          <w:rFonts w:ascii="Times New Roman" w:hAnsi="Times New Roman"/>
          <w:b/>
          <w:sz w:val="28"/>
          <w:szCs w:val="28"/>
        </w:rPr>
        <w:t>Аккредитивы бывают:</w:t>
      </w:r>
    </w:p>
    <w:p w:rsidR="006E5CCA" w:rsidRDefault="006E5CCA" w:rsidP="006E5CCA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3). Покрытые и непокрытые;</w:t>
      </w:r>
    </w:p>
    <w:p w:rsidR="006E5CCA" w:rsidRPr="00633ABF" w:rsidRDefault="006E5CCA" w:rsidP="006E5CCA">
      <w:pPr>
        <w:pStyle w:val="a7"/>
        <w:spacing w:before="100" w:beforeAutospacing="1" w:after="100" w:afterAutospacing="1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ГК РФ Часть 2 </w:t>
      </w:r>
      <w:r w:rsidRPr="00633ABF">
        <w:rPr>
          <w:rFonts w:ascii="Times New Roman" w:hAnsi="Times New Roman"/>
          <w:sz w:val="28"/>
          <w:szCs w:val="28"/>
        </w:rPr>
        <w:t>Статья 867. Общие положения о расчетах по аккредитиву</w:t>
      </w:r>
    </w:p>
    <w:p w:rsidR="006E5CCA" w:rsidRDefault="006E5CCA" w:rsidP="006E5CCA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5CCA">
        <w:rPr>
          <w:rFonts w:ascii="Times New Roman" w:hAnsi="Times New Roman"/>
          <w:sz w:val="28"/>
          <w:szCs w:val="28"/>
        </w:rPr>
        <w:t>2. В случае открытия покрытого (депонированного) аккредитива банк-эмитент при его открытии обязан перечислить сумму аккредитива (покрытие) за счет плательщика либо предоставленного ему кредита в распоряжение исполняющего банка на весь срок действия обязательства банка-эмитента.</w:t>
      </w:r>
    </w:p>
    <w:p w:rsidR="006E5CCA" w:rsidRDefault="006E5CCA" w:rsidP="006E5CCA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5CCA">
        <w:rPr>
          <w:rFonts w:ascii="Times New Roman" w:hAnsi="Times New Roman"/>
          <w:sz w:val="28"/>
          <w:szCs w:val="28"/>
        </w:rPr>
        <w:t>В случае открытия непокрытого (гарантированного) аккредитива исполняющему банку предоставляется право списывать всю сумму аккредитива с ведущегося у него счета банка-эмитента.</w:t>
      </w:r>
    </w:p>
    <w:p w:rsidR="00C5067D" w:rsidRDefault="00C5067D" w:rsidP="006E5CCA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5067D" w:rsidRPr="006E5CCA" w:rsidRDefault="00C5067D" w:rsidP="006E5CCA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E5CCA" w:rsidRPr="006E5CCA" w:rsidRDefault="006E5CCA" w:rsidP="006E5CCA">
      <w:pPr>
        <w:pStyle w:val="a7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E5CCA">
        <w:rPr>
          <w:rFonts w:ascii="Times New Roman" w:hAnsi="Times New Roman"/>
          <w:b/>
          <w:sz w:val="28"/>
          <w:szCs w:val="28"/>
        </w:rPr>
        <w:t>Безотзывный аккредитив – это:</w:t>
      </w:r>
    </w:p>
    <w:p w:rsidR="006E5CCA" w:rsidRPr="006E5CCA" w:rsidRDefault="006E5CCA" w:rsidP="006E5CC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E5CCA">
        <w:rPr>
          <w:rFonts w:ascii="Times New Roman" w:hAnsi="Times New Roman"/>
          <w:sz w:val="28"/>
          <w:szCs w:val="28"/>
        </w:rPr>
        <w:t>3). Аккредитив, который можно отозвать только с согласия получателя средств.</w:t>
      </w:r>
    </w:p>
    <w:p w:rsidR="006E5CCA" w:rsidRPr="006E5CCA" w:rsidRDefault="006E5CCA" w:rsidP="006E5CC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ГК РФ Часть 2 </w:t>
      </w:r>
      <w:r w:rsidRPr="006E5CCA">
        <w:rPr>
          <w:rFonts w:ascii="Times New Roman" w:hAnsi="Times New Roman"/>
          <w:sz w:val="28"/>
          <w:szCs w:val="28"/>
        </w:rPr>
        <w:t>Статья 869. Безотзывный аккредитив</w:t>
      </w:r>
    </w:p>
    <w:p w:rsidR="006E5CCA" w:rsidRDefault="006E5CCA" w:rsidP="006E5CC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E5CCA">
        <w:rPr>
          <w:rFonts w:ascii="Times New Roman" w:hAnsi="Times New Roman"/>
          <w:sz w:val="28"/>
          <w:szCs w:val="28"/>
        </w:rPr>
        <w:t>1. Безотзывным признается аккредитив, который не может быть отменен без согласия получателя средств.</w:t>
      </w:r>
    </w:p>
    <w:p w:rsidR="006E5CCA" w:rsidRDefault="006E5CCA" w:rsidP="006E5CC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E5CCA" w:rsidRPr="00C5067D" w:rsidRDefault="006E5CCA" w:rsidP="006E5CCA">
      <w:pPr>
        <w:pStyle w:val="a7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C5067D">
        <w:rPr>
          <w:rFonts w:ascii="Times New Roman" w:hAnsi="Times New Roman"/>
          <w:b/>
          <w:sz w:val="28"/>
          <w:szCs w:val="28"/>
        </w:rPr>
        <w:t>Выберите форму расчетов:</w:t>
      </w:r>
    </w:p>
    <w:p w:rsidR="006E5CCA" w:rsidRDefault="00C5067D" w:rsidP="006E5CCA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1). Платежными поручениями;</w:t>
      </w:r>
    </w:p>
    <w:p w:rsidR="00C5067D" w:rsidRPr="00C5067D" w:rsidRDefault="00C5067D" w:rsidP="00C506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ГК РФ Часть 2 </w:t>
      </w:r>
      <w:r w:rsidRPr="00C5067D">
        <w:rPr>
          <w:rFonts w:ascii="Times New Roman" w:hAnsi="Times New Roman"/>
          <w:sz w:val="28"/>
          <w:szCs w:val="28"/>
        </w:rPr>
        <w:t>Статья 862. Формы безналичных расчетов</w:t>
      </w:r>
    </w:p>
    <w:p w:rsidR="00C5067D" w:rsidRPr="00C5067D" w:rsidRDefault="00C5067D" w:rsidP="00C506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067D">
        <w:rPr>
          <w:rFonts w:ascii="Times New Roman" w:hAnsi="Times New Roman"/>
          <w:sz w:val="28"/>
          <w:szCs w:val="28"/>
        </w:rPr>
        <w:t>1. При осуществлении безналичных расчетов допускаются расчеты платежными поручениями, по аккредитиву, чеками, расчеты по инкассо, а также расчеты в иных формах, предусмотренных законом, установленными в соответствии с ним банковскими правилами и применяемыми в банковской практике обычаями делового оборота.</w:t>
      </w:r>
    </w:p>
    <w:p w:rsidR="006E5CCA" w:rsidRDefault="006E5CCA" w:rsidP="006E5CCA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A4799" w:rsidRPr="00C5067D" w:rsidRDefault="004A4799" w:rsidP="006E5CCA">
      <w:pPr>
        <w:pStyle w:val="a7"/>
        <w:numPr>
          <w:ilvl w:val="0"/>
          <w:numId w:val="18"/>
        </w:numPr>
        <w:spacing w:before="100" w:beforeAutospacing="1" w:after="0" w:afterAutospacing="1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5067D">
        <w:rPr>
          <w:rFonts w:ascii="Times New Roman" w:hAnsi="Times New Roman"/>
          <w:b/>
          <w:sz w:val="28"/>
          <w:szCs w:val="28"/>
        </w:rPr>
        <w:t>Отрасль страхования, в качестве объекта имеющая ущерб, который возникает в случае болезни застрахованного физического лица:</w:t>
      </w:r>
    </w:p>
    <w:p w:rsidR="004A4799" w:rsidRPr="004A4799" w:rsidRDefault="004A4799" w:rsidP="004A4799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A4799">
        <w:rPr>
          <w:rFonts w:ascii="Times New Roman" w:hAnsi="Times New Roman"/>
          <w:sz w:val="28"/>
          <w:szCs w:val="28"/>
        </w:rPr>
        <w:t>2). Личное страхование.</w:t>
      </w:r>
    </w:p>
    <w:p w:rsidR="004A4799" w:rsidRPr="004A4799" w:rsidRDefault="00C5067D" w:rsidP="004A4799">
      <w:pPr>
        <w:pStyle w:val="a7"/>
        <w:spacing w:before="100" w:beforeAutospacing="1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ГК РФ Часть 2 </w:t>
      </w:r>
      <w:r w:rsidR="004A4799" w:rsidRPr="004A4799">
        <w:rPr>
          <w:rFonts w:ascii="Times New Roman" w:hAnsi="Times New Roman"/>
          <w:sz w:val="28"/>
          <w:szCs w:val="28"/>
        </w:rPr>
        <w:t>Статья 934. Договор личного страхования</w:t>
      </w:r>
    </w:p>
    <w:p w:rsidR="004A4799" w:rsidRPr="004A4799" w:rsidRDefault="004A4799" w:rsidP="004A4799">
      <w:pPr>
        <w:pStyle w:val="a7"/>
        <w:spacing w:before="100" w:beforeAutospacing="1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A4799">
        <w:rPr>
          <w:rFonts w:ascii="Times New Roman" w:hAnsi="Times New Roman"/>
          <w:sz w:val="28"/>
          <w:szCs w:val="28"/>
        </w:rPr>
        <w:t>1. По договору личного страхования одна сторона (страховщик) обязуется за обусловленную договором плату (страховую премию), уплачиваемую другой стороной (страхователем), выплатить единовременно или выплачивать периодически обусловленную договором сумму (страховую сумму) в случае причинения вреда жизни или здоровью самого страхователя или другого названного в договоре гражданина (застрахованного лица), достижения им определенного возраста или наступления в его жизни иного предусмотренного договором события (страхового случая).</w:t>
      </w:r>
    </w:p>
    <w:p w:rsidR="004A4799" w:rsidRDefault="004A4799" w:rsidP="004A4799">
      <w:pPr>
        <w:pStyle w:val="a7"/>
        <w:spacing w:before="100" w:beforeAutospacing="1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A4799">
        <w:rPr>
          <w:rFonts w:ascii="Times New Roman" w:hAnsi="Times New Roman"/>
          <w:sz w:val="28"/>
          <w:szCs w:val="28"/>
        </w:rPr>
        <w:t>Право на получение страховой суммы принадлежит лицу, в пользу которого заключен договор.</w:t>
      </w:r>
    </w:p>
    <w:p w:rsidR="000E16F7" w:rsidRDefault="00185076" w:rsidP="000E16F7">
      <w:pPr>
        <w:pStyle w:val="a7"/>
        <w:numPr>
          <w:ilvl w:val="0"/>
          <w:numId w:val="18"/>
        </w:numPr>
        <w:spacing w:before="100" w:beforeAutospacing="1" w:afterAutospacing="1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0E16F7">
        <w:rPr>
          <w:rFonts w:ascii="Times New Roman" w:hAnsi="Times New Roman"/>
          <w:b/>
          <w:sz w:val="28"/>
          <w:szCs w:val="28"/>
        </w:rPr>
        <w:t>Отрасль страхования, в качестве объекта имеющая ущерб, который возникает в случае повреждения застрахованным лицом чужого имущества:</w:t>
      </w:r>
    </w:p>
    <w:p w:rsidR="000E16F7" w:rsidRPr="000E16F7" w:rsidRDefault="000E16F7" w:rsidP="000E16F7">
      <w:pPr>
        <w:pStyle w:val="a7"/>
        <w:spacing w:before="100" w:beforeAutospacing="1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E16F7">
        <w:rPr>
          <w:rFonts w:ascii="Times New Roman" w:hAnsi="Times New Roman"/>
          <w:sz w:val="28"/>
          <w:szCs w:val="28"/>
        </w:rPr>
        <w:t>1). Имущественное страхование</w:t>
      </w:r>
    </w:p>
    <w:p w:rsidR="000E16F7" w:rsidRPr="000E16F7" w:rsidRDefault="000E16F7" w:rsidP="000E16F7">
      <w:pPr>
        <w:pStyle w:val="a7"/>
        <w:spacing w:before="100" w:beforeAutospacing="1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E16F7">
        <w:rPr>
          <w:rFonts w:ascii="Times New Roman" w:hAnsi="Times New Roman"/>
          <w:sz w:val="28"/>
          <w:szCs w:val="28"/>
        </w:rPr>
        <w:t>Статья 929. Договор имущественного страхования</w:t>
      </w:r>
    </w:p>
    <w:p w:rsidR="00185076" w:rsidRDefault="000E16F7" w:rsidP="004A4799">
      <w:pPr>
        <w:pStyle w:val="a7"/>
        <w:spacing w:before="100" w:beforeAutospacing="1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E16F7">
        <w:rPr>
          <w:rFonts w:ascii="Times New Roman" w:hAnsi="Times New Roman"/>
          <w:sz w:val="28"/>
          <w:szCs w:val="28"/>
        </w:rPr>
        <w:t>1. По договору имущественного страхования одна сторона (страховщик) обязуется за обусловленную договором плату (страховую премию) при наступлении предусмотренного в договоре события (страхового случая) возместить другой стороне (страхователю) или иному лицу, в пользу которого заключен договор (выгодоприобретателю), причиненные вследствие этого события убытки в застрахованном имуществе либо убытки в связи с иными имущественными интересами страхователя (выплатить страховое возмещение) в пределах определенной договором суммы (страховой суммы).</w:t>
      </w:r>
    </w:p>
    <w:p w:rsidR="000E16F7" w:rsidRDefault="000E16F7" w:rsidP="004A4799">
      <w:pPr>
        <w:pStyle w:val="a7"/>
        <w:spacing w:before="100" w:beforeAutospacing="1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85076" w:rsidRDefault="00185076" w:rsidP="00185076">
      <w:pPr>
        <w:pStyle w:val="a7"/>
        <w:numPr>
          <w:ilvl w:val="0"/>
          <w:numId w:val="18"/>
        </w:numPr>
        <w:spacing w:before="100" w:beforeAutospacing="1" w:after="0" w:afterAutospacing="1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Варианты обеспечения кредита (или любого другого долга), используемые в РФ: </w:t>
      </w:r>
    </w:p>
    <w:p w:rsidR="00185076" w:rsidRDefault="00185076" w:rsidP="00185076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85076">
        <w:rPr>
          <w:rFonts w:ascii="Times New Roman" w:hAnsi="Times New Roman"/>
          <w:sz w:val="28"/>
          <w:szCs w:val="28"/>
        </w:rPr>
        <w:t>5).</w:t>
      </w:r>
      <w:r>
        <w:rPr>
          <w:rFonts w:ascii="Times New Roman" w:hAnsi="Times New Roman"/>
          <w:sz w:val="28"/>
          <w:szCs w:val="28"/>
        </w:rPr>
        <w:t xml:space="preserve"> Банковская гарантия; </w:t>
      </w:r>
    </w:p>
    <w:p w:rsidR="00185076" w:rsidRPr="000E16F7" w:rsidRDefault="000E16F7" w:rsidP="000E16F7">
      <w:pPr>
        <w:pStyle w:val="a7"/>
        <w:spacing w:before="100" w:beforeAutospacing="1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E16F7">
        <w:rPr>
          <w:rFonts w:ascii="Times New Roman" w:hAnsi="Times New Roman"/>
          <w:sz w:val="28"/>
          <w:szCs w:val="28"/>
        </w:rPr>
        <w:t xml:space="preserve">ГК РФ Часть 1 </w:t>
      </w:r>
      <w:r w:rsidR="00185076" w:rsidRPr="000E16F7">
        <w:rPr>
          <w:rFonts w:ascii="Times New Roman" w:hAnsi="Times New Roman"/>
          <w:sz w:val="28"/>
          <w:szCs w:val="28"/>
        </w:rPr>
        <w:t>Статья 329. Способы обеспечения исполнения обязательств</w:t>
      </w:r>
    </w:p>
    <w:p w:rsidR="000E16F7" w:rsidRDefault="000E16F7" w:rsidP="000E16F7">
      <w:pPr>
        <w:pStyle w:val="a7"/>
        <w:numPr>
          <w:ilvl w:val="0"/>
          <w:numId w:val="21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E16F7">
        <w:rPr>
          <w:rFonts w:ascii="Times New Roman" w:hAnsi="Times New Roman"/>
          <w:sz w:val="28"/>
          <w:szCs w:val="28"/>
        </w:rPr>
        <w:t>Исполнение</w:t>
      </w:r>
      <w:r w:rsidR="00185076" w:rsidRPr="000E16F7">
        <w:rPr>
          <w:rFonts w:ascii="Times New Roman" w:hAnsi="Times New Roman"/>
          <w:sz w:val="28"/>
          <w:szCs w:val="28"/>
        </w:rPr>
        <w:t xml:space="preserve"> обязательств может обеспечиваться неустойкой, залогом, удержанием имущества должника, поручительством, банковской гарантией, задатком и другими способами, предусмотренными законом или договором.</w:t>
      </w:r>
    </w:p>
    <w:p w:rsidR="000E16F7" w:rsidRPr="000E16F7" w:rsidRDefault="000E16F7" w:rsidP="000E16F7">
      <w:pPr>
        <w:pStyle w:val="a7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E5CCA" w:rsidRPr="004A4799" w:rsidRDefault="006E5CCA" w:rsidP="006E5CCA">
      <w:pPr>
        <w:pStyle w:val="a7"/>
        <w:numPr>
          <w:ilvl w:val="0"/>
          <w:numId w:val="18"/>
        </w:numPr>
        <w:spacing w:before="100" w:beforeAutospacing="1" w:after="0" w:afterAutospacing="1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A4799">
        <w:rPr>
          <w:rFonts w:ascii="Times New Roman" w:hAnsi="Times New Roman"/>
          <w:b/>
          <w:sz w:val="28"/>
          <w:szCs w:val="28"/>
        </w:rPr>
        <w:t>Отзывный аккредитив – это:</w:t>
      </w:r>
    </w:p>
    <w:p w:rsidR="006E5CCA" w:rsidRPr="006E5CCA" w:rsidRDefault="006E5CCA" w:rsidP="006E5CCA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5CCA">
        <w:rPr>
          <w:rFonts w:ascii="Times New Roman" w:hAnsi="Times New Roman"/>
          <w:sz w:val="28"/>
          <w:szCs w:val="28"/>
        </w:rPr>
        <w:t>4). Аккредитив, который можно отозвать в любое время по письменному заявлению плательщика.</w:t>
      </w:r>
    </w:p>
    <w:p w:rsidR="006E5CCA" w:rsidRPr="006E5CCA" w:rsidRDefault="006E5CCA" w:rsidP="006E5CCA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ГК РФ Часть 2 </w:t>
      </w:r>
      <w:r w:rsidRPr="006E5CCA">
        <w:rPr>
          <w:rFonts w:ascii="Times New Roman" w:hAnsi="Times New Roman"/>
          <w:sz w:val="28"/>
          <w:szCs w:val="28"/>
        </w:rPr>
        <w:t>Статья 868. Отзывный аккредитив</w:t>
      </w:r>
      <w:r>
        <w:rPr>
          <w:rFonts w:ascii="Times New Roman" w:hAnsi="Times New Roman"/>
          <w:sz w:val="28"/>
          <w:szCs w:val="28"/>
        </w:rPr>
        <w:t>.</w:t>
      </w:r>
    </w:p>
    <w:p w:rsidR="006E5CCA" w:rsidRDefault="006E5CCA" w:rsidP="0073177D">
      <w:pPr>
        <w:pStyle w:val="a7"/>
        <w:numPr>
          <w:ilvl w:val="0"/>
          <w:numId w:val="20"/>
        </w:numPr>
        <w:spacing w:before="100" w:beforeAutospacing="1" w:after="0" w:afterAutospacing="1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E5CCA">
        <w:rPr>
          <w:rFonts w:ascii="Times New Roman" w:hAnsi="Times New Roman"/>
          <w:sz w:val="28"/>
          <w:szCs w:val="28"/>
        </w:rPr>
        <w:t>Отзывным признается аккредитив, который может быть изменен или отменен банком-эмитентом без предварительного уведомления получателя средств. Отзыв аккредитива не создает каких-либо обязательств банка-эмитента перед получателем средств.</w:t>
      </w:r>
    </w:p>
    <w:p w:rsidR="00185076" w:rsidRPr="00185076" w:rsidRDefault="00185076" w:rsidP="0073177D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73177D" w:rsidRDefault="00185076" w:rsidP="0073177D">
      <w:pPr>
        <w:pStyle w:val="a7"/>
        <w:numPr>
          <w:ilvl w:val="0"/>
          <w:numId w:val="18"/>
        </w:numPr>
        <w:spacing w:before="100" w:beforeAutospacing="1" w:after="0" w:afterAutospacing="1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Чтобы уточнить правила ведения бухгалтерского учета в коммерческом банке «Рубин», надо рассмотреть инструкцию:</w:t>
      </w:r>
    </w:p>
    <w:p w:rsidR="000E16F7" w:rsidRDefault="000E16F7" w:rsidP="000E16F7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E16F7">
        <w:rPr>
          <w:rFonts w:ascii="Times New Roman" w:hAnsi="Times New Roman"/>
          <w:sz w:val="28"/>
          <w:szCs w:val="28"/>
        </w:rPr>
        <w:t>1). Центрального Банка РФ;</w:t>
      </w:r>
    </w:p>
    <w:p w:rsidR="000E16F7" w:rsidRDefault="000E16F7" w:rsidP="000E16F7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ФЗ от 02.12.1990 № 395-1 (ред. 27.12.2009) «О банках и банковской деятельности) </w:t>
      </w:r>
      <w:r w:rsidRPr="000E16F7">
        <w:rPr>
          <w:rFonts w:ascii="Times New Roman" w:hAnsi="Times New Roman"/>
          <w:sz w:val="28"/>
          <w:szCs w:val="28"/>
        </w:rPr>
        <w:t>Статья 40. Правила бухгалтерского учета в кредитной организации</w:t>
      </w:r>
      <w:r w:rsidR="00F10DA5">
        <w:rPr>
          <w:rFonts w:ascii="Times New Roman" w:hAnsi="Times New Roman"/>
          <w:sz w:val="28"/>
          <w:szCs w:val="28"/>
        </w:rPr>
        <w:t>.</w:t>
      </w:r>
    </w:p>
    <w:p w:rsidR="000E16F7" w:rsidRDefault="000E16F7" w:rsidP="000E16F7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0E16F7">
        <w:rPr>
          <w:rFonts w:ascii="Times New Roman" w:hAnsi="Times New Roman"/>
          <w:sz w:val="28"/>
          <w:szCs w:val="28"/>
        </w:rPr>
        <w:t>равила ведения бухгалтерского учета, представления финансовой и статистической отчетности, составления годовых отчетов кредитными организациями устанавливаются Банком России с учетом международной банковской практики.</w:t>
      </w:r>
    </w:p>
    <w:p w:rsidR="002E7458" w:rsidRDefault="000E16F7" w:rsidP="00F10DA5">
      <w:pPr>
        <w:pStyle w:val="a7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0E16F7">
        <w:rPr>
          <w:rFonts w:ascii="Times New Roman" w:hAnsi="Times New Roman"/>
          <w:sz w:val="28"/>
          <w:szCs w:val="28"/>
        </w:rPr>
        <w:t>Банк России устанавливает особенности ведения бухгалтерского учета государственной корпорацией "Банк развития и внешнеэкономической деятельности (Внешэкономбанк)".</w:t>
      </w:r>
    </w:p>
    <w:p w:rsidR="002E7458" w:rsidRDefault="002E7458" w:rsidP="002E7458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458" w:rsidRDefault="002E7458" w:rsidP="002E7458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84574" w:rsidRDefault="00184574" w:rsidP="002E7458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84574" w:rsidRDefault="00184574" w:rsidP="002E7458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458" w:rsidRPr="005D166F" w:rsidRDefault="003A384C" w:rsidP="002E7458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3A384C" w:rsidRPr="003A384C" w:rsidRDefault="003A384C" w:rsidP="003A384C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384C">
        <w:rPr>
          <w:rFonts w:ascii="Times New Roman" w:hAnsi="Times New Roman"/>
          <w:sz w:val="28"/>
          <w:szCs w:val="28"/>
        </w:rPr>
        <w:t xml:space="preserve">Финансы, денежное обращение и кредит / Под ред. проф. Г.Б.Поляка. - М.: ЮНИТИ. 2001. </w:t>
      </w:r>
    </w:p>
    <w:p w:rsidR="003A384C" w:rsidRPr="003A384C" w:rsidRDefault="00686433" w:rsidP="003A384C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384C">
        <w:rPr>
          <w:rFonts w:ascii="Times New Roman" w:hAnsi="Times New Roman"/>
          <w:sz w:val="28"/>
          <w:szCs w:val="28"/>
        </w:rPr>
        <w:t xml:space="preserve">Экономические субъекты постсоветской России (институциональный анализ). Под ред. Р.М. Нуреева. М.: 2003. Т. 1. </w:t>
      </w:r>
    </w:p>
    <w:p w:rsidR="003A384C" w:rsidRPr="003A384C" w:rsidRDefault="003A384C" w:rsidP="003A384C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384C">
        <w:rPr>
          <w:rFonts w:ascii="Times New Roman" w:hAnsi="Times New Roman"/>
          <w:sz w:val="28"/>
          <w:szCs w:val="28"/>
        </w:rPr>
        <w:t>С.А.Александров, Ф.И.Пугачев. “Кредитные средства обращения и платежа”. М. “Факт”. 1991 г.</w:t>
      </w:r>
    </w:p>
    <w:p w:rsidR="003A384C" w:rsidRPr="003A384C" w:rsidRDefault="003A384C" w:rsidP="003A384C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384C">
        <w:rPr>
          <w:rFonts w:ascii="Times New Roman" w:hAnsi="Times New Roman"/>
          <w:sz w:val="28"/>
          <w:szCs w:val="28"/>
        </w:rPr>
        <w:t>В.А.Селиванкин. Техника кредитования. Л. “Кооперация”. 1926 г.</w:t>
      </w:r>
    </w:p>
    <w:p w:rsidR="003A384C" w:rsidRPr="003A384C" w:rsidRDefault="003A384C" w:rsidP="003A384C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384C">
        <w:rPr>
          <w:rFonts w:ascii="Times New Roman" w:hAnsi="Times New Roman"/>
          <w:sz w:val="28"/>
          <w:szCs w:val="28"/>
        </w:rPr>
        <w:t>Общая теория денег и кредита / Под ред. Е.Ф. Жукова - М.: ЮНИТИ, 2001.</w:t>
      </w:r>
      <w:bookmarkStart w:id="6" w:name="_GoBack"/>
      <w:bookmarkEnd w:id="6"/>
    </w:p>
    <w:sectPr w:rsidR="003A384C" w:rsidRPr="003A384C" w:rsidSect="003A384C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6CC" w:rsidRDefault="008606CC" w:rsidP="00B202FC">
      <w:pPr>
        <w:spacing w:after="0" w:line="240" w:lineRule="auto"/>
      </w:pPr>
      <w:r>
        <w:separator/>
      </w:r>
    </w:p>
  </w:endnote>
  <w:endnote w:type="continuationSeparator" w:id="0">
    <w:p w:rsidR="008606CC" w:rsidRDefault="008606CC" w:rsidP="00B20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84C" w:rsidRDefault="008015FD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84574">
      <w:rPr>
        <w:noProof/>
      </w:rPr>
      <w:t>19</w:t>
    </w:r>
    <w:r>
      <w:fldChar w:fldCharType="end"/>
    </w:r>
  </w:p>
  <w:p w:rsidR="003A384C" w:rsidRDefault="003A384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6CC" w:rsidRDefault="008606CC" w:rsidP="00B202FC">
      <w:pPr>
        <w:spacing w:after="0" w:line="240" w:lineRule="auto"/>
      </w:pPr>
      <w:r>
        <w:separator/>
      </w:r>
    </w:p>
  </w:footnote>
  <w:footnote w:type="continuationSeparator" w:id="0">
    <w:p w:rsidR="008606CC" w:rsidRDefault="008606CC" w:rsidP="00B20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0A26"/>
    <w:multiLevelType w:val="singleLevel"/>
    <w:tmpl w:val="4D728250"/>
    <w:lvl w:ilvl="0">
      <w:start w:val="1"/>
      <w:numFmt w:val="bullet"/>
      <w:lvlText w:val="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1">
    <w:nsid w:val="07D77C9E"/>
    <w:multiLevelType w:val="hybridMultilevel"/>
    <w:tmpl w:val="FBF69D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8000DB8"/>
    <w:multiLevelType w:val="hybridMultilevel"/>
    <w:tmpl w:val="DD349C82"/>
    <w:lvl w:ilvl="0" w:tplc="C94A9C8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27C41"/>
    <w:multiLevelType w:val="hybridMultilevel"/>
    <w:tmpl w:val="207484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74219"/>
    <w:multiLevelType w:val="hybridMultilevel"/>
    <w:tmpl w:val="F550B7FA"/>
    <w:lvl w:ilvl="0" w:tplc="FB16046E">
      <w:start w:val="1"/>
      <w:numFmt w:val="bullet"/>
      <w:lvlText w:val=""/>
      <w:lvlJc w:val="left"/>
      <w:pPr>
        <w:tabs>
          <w:tab w:val="num" w:pos="360"/>
        </w:tabs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91B43CD"/>
    <w:multiLevelType w:val="singleLevel"/>
    <w:tmpl w:val="FB16046E"/>
    <w:lvl w:ilvl="0">
      <w:start w:val="1"/>
      <w:numFmt w:val="bullet"/>
      <w:lvlText w:val="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6">
    <w:nsid w:val="1DA31AD6"/>
    <w:multiLevelType w:val="hybridMultilevel"/>
    <w:tmpl w:val="A78C5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D3BA2"/>
    <w:multiLevelType w:val="hybridMultilevel"/>
    <w:tmpl w:val="A486191E"/>
    <w:lvl w:ilvl="0" w:tplc="D1BCB3A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8C67E76"/>
    <w:multiLevelType w:val="singleLevel"/>
    <w:tmpl w:val="FB16046E"/>
    <w:lvl w:ilvl="0">
      <w:start w:val="1"/>
      <w:numFmt w:val="bullet"/>
      <w:lvlText w:val="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9">
    <w:nsid w:val="36BF6F59"/>
    <w:multiLevelType w:val="singleLevel"/>
    <w:tmpl w:val="2848CB8E"/>
    <w:lvl w:ilvl="0">
      <w:start w:val="1"/>
      <w:numFmt w:val="bullet"/>
      <w:lvlText w:val=""/>
      <w:lvlJc w:val="left"/>
      <w:pPr>
        <w:tabs>
          <w:tab w:val="num" w:pos="360"/>
        </w:tabs>
      </w:pPr>
      <w:rPr>
        <w:rFonts w:ascii="Wingdings" w:hAnsi="Wingdings" w:cs="Wingdings" w:hint="default"/>
        <w:sz w:val="18"/>
        <w:szCs w:val="18"/>
      </w:rPr>
    </w:lvl>
  </w:abstractNum>
  <w:abstractNum w:abstractNumId="10">
    <w:nsid w:val="43357855"/>
    <w:multiLevelType w:val="hybridMultilevel"/>
    <w:tmpl w:val="9F807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14A3B"/>
    <w:multiLevelType w:val="hybridMultilevel"/>
    <w:tmpl w:val="187EE65C"/>
    <w:lvl w:ilvl="0" w:tplc="3F7CE7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06580C"/>
    <w:multiLevelType w:val="singleLevel"/>
    <w:tmpl w:val="4D728250"/>
    <w:lvl w:ilvl="0">
      <w:start w:val="1"/>
      <w:numFmt w:val="bullet"/>
      <w:lvlText w:val="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13">
    <w:nsid w:val="4CC7342B"/>
    <w:multiLevelType w:val="singleLevel"/>
    <w:tmpl w:val="FB16046E"/>
    <w:lvl w:ilvl="0">
      <w:start w:val="1"/>
      <w:numFmt w:val="bullet"/>
      <w:lvlText w:val="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14">
    <w:nsid w:val="50B8785E"/>
    <w:multiLevelType w:val="hybridMultilevel"/>
    <w:tmpl w:val="61FC8F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C0294A"/>
    <w:multiLevelType w:val="hybridMultilevel"/>
    <w:tmpl w:val="B9C2BAAC"/>
    <w:lvl w:ilvl="0" w:tplc="7E1ED9A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A718A0"/>
    <w:multiLevelType w:val="singleLevel"/>
    <w:tmpl w:val="2848CB8E"/>
    <w:lvl w:ilvl="0">
      <w:start w:val="1"/>
      <w:numFmt w:val="bullet"/>
      <w:lvlText w:val=""/>
      <w:lvlJc w:val="left"/>
      <w:pPr>
        <w:tabs>
          <w:tab w:val="num" w:pos="360"/>
        </w:tabs>
      </w:pPr>
      <w:rPr>
        <w:rFonts w:ascii="Wingdings" w:hAnsi="Wingdings" w:cs="Wingdings" w:hint="default"/>
        <w:sz w:val="18"/>
        <w:szCs w:val="18"/>
      </w:rPr>
    </w:lvl>
  </w:abstractNum>
  <w:abstractNum w:abstractNumId="17">
    <w:nsid w:val="5ACC0270"/>
    <w:multiLevelType w:val="hybridMultilevel"/>
    <w:tmpl w:val="1C2627C4"/>
    <w:lvl w:ilvl="0" w:tplc="002A927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1B4B7E"/>
    <w:multiLevelType w:val="hybridMultilevel"/>
    <w:tmpl w:val="C7C43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45426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729512C7"/>
    <w:multiLevelType w:val="singleLevel"/>
    <w:tmpl w:val="4D728250"/>
    <w:lvl w:ilvl="0">
      <w:start w:val="1"/>
      <w:numFmt w:val="bullet"/>
      <w:lvlText w:val="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1">
    <w:nsid w:val="72ED504A"/>
    <w:multiLevelType w:val="hybridMultilevel"/>
    <w:tmpl w:val="D950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3074DA"/>
    <w:multiLevelType w:val="hybridMultilevel"/>
    <w:tmpl w:val="5A5863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3"/>
  </w:num>
  <w:num w:numId="4">
    <w:abstractNumId w:val="5"/>
  </w:num>
  <w:num w:numId="5">
    <w:abstractNumId w:val="12"/>
  </w:num>
  <w:num w:numId="6">
    <w:abstractNumId w:val="0"/>
  </w:num>
  <w:num w:numId="7">
    <w:abstractNumId w:val="20"/>
  </w:num>
  <w:num w:numId="8">
    <w:abstractNumId w:val="16"/>
  </w:num>
  <w:num w:numId="9">
    <w:abstractNumId w:val="9"/>
  </w:num>
  <w:num w:numId="10">
    <w:abstractNumId w:val="4"/>
  </w:num>
  <w:num w:numId="11">
    <w:abstractNumId w:val="6"/>
  </w:num>
  <w:num w:numId="12">
    <w:abstractNumId w:val="22"/>
  </w:num>
  <w:num w:numId="13">
    <w:abstractNumId w:val="14"/>
  </w:num>
  <w:num w:numId="14">
    <w:abstractNumId w:val="10"/>
  </w:num>
  <w:num w:numId="15">
    <w:abstractNumId w:val="2"/>
  </w:num>
  <w:num w:numId="16">
    <w:abstractNumId w:val="1"/>
  </w:num>
  <w:num w:numId="17">
    <w:abstractNumId w:val="3"/>
  </w:num>
  <w:num w:numId="18">
    <w:abstractNumId w:val="7"/>
  </w:num>
  <w:num w:numId="19">
    <w:abstractNumId w:val="11"/>
  </w:num>
  <w:num w:numId="20">
    <w:abstractNumId w:val="15"/>
  </w:num>
  <w:num w:numId="21">
    <w:abstractNumId w:val="17"/>
  </w:num>
  <w:num w:numId="22">
    <w:abstractNumId w:val="2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66F"/>
    <w:rsid w:val="0001214E"/>
    <w:rsid w:val="00091119"/>
    <w:rsid w:val="000E16F7"/>
    <w:rsid w:val="00184574"/>
    <w:rsid w:val="00185076"/>
    <w:rsid w:val="00204B3C"/>
    <w:rsid w:val="002C4234"/>
    <w:rsid w:val="002E7458"/>
    <w:rsid w:val="003A384C"/>
    <w:rsid w:val="004550B2"/>
    <w:rsid w:val="004A4799"/>
    <w:rsid w:val="004B5A55"/>
    <w:rsid w:val="004E1B11"/>
    <w:rsid w:val="0054085D"/>
    <w:rsid w:val="005D166F"/>
    <w:rsid w:val="00633ABF"/>
    <w:rsid w:val="00643119"/>
    <w:rsid w:val="00686433"/>
    <w:rsid w:val="006E5CCA"/>
    <w:rsid w:val="0071070A"/>
    <w:rsid w:val="00716B3D"/>
    <w:rsid w:val="007207A5"/>
    <w:rsid w:val="0073177D"/>
    <w:rsid w:val="007631C5"/>
    <w:rsid w:val="007948E6"/>
    <w:rsid w:val="007C2D5A"/>
    <w:rsid w:val="008015FD"/>
    <w:rsid w:val="008606CC"/>
    <w:rsid w:val="00877C99"/>
    <w:rsid w:val="008B60D4"/>
    <w:rsid w:val="00B06A22"/>
    <w:rsid w:val="00B202FC"/>
    <w:rsid w:val="00B42F5B"/>
    <w:rsid w:val="00C5067D"/>
    <w:rsid w:val="00C609F9"/>
    <w:rsid w:val="00C65E79"/>
    <w:rsid w:val="00EF3CED"/>
    <w:rsid w:val="00F10DA5"/>
    <w:rsid w:val="00F43E32"/>
    <w:rsid w:val="00F9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95174AE-B64F-4D33-A9D1-F6FED49DA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D5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D166F"/>
    <w:rPr>
      <w:color w:val="006699"/>
      <w:u w:val="single"/>
    </w:rPr>
  </w:style>
  <w:style w:type="paragraph" w:styleId="a4">
    <w:name w:val="Normal (Web)"/>
    <w:basedOn w:val="a"/>
    <w:uiPriority w:val="99"/>
    <w:semiHidden/>
    <w:unhideWhenUsed/>
    <w:rsid w:val="005D16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D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rsid w:val="005D166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D166F"/>
    <w:pPr>
      <w:ind w:left="720"/>
      <w:contextualSpacing/>
    </w:pPr>
  </w:style>
  <w:style w:type="table" w:styleId="a8">
    <w:name w:val="Table Grid"/>
    <w:basedOn w:val="a1"/>
    <w:uiPriority w:val="59"/>
    <w:rsid w:val="006864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link w:val="aa"/>
    <w:uiPriority w:val="99"/>
    <w:semiHidden/>
    <w:unhideWhenUsed/>
    <w:rsid w:val="00B202FC"/>
    <w:pPr>
      <w:spacing w:after="0" w:line="240" w:lineRule="auto"/>
    </w:pPr>
    <w:rPr>
      <w:sz w:val="20"/>
      <w:szCs w:val="20"/>
    </w:rPr>
  </w:style>
  <w:style w:type="character" w:customStyle="1" w:styleId="aa">
    <w:name w:val="Текст виноски Знак"/>
    <w:link w:val="a9"/>
    <w:uiPriority w:val="99"/>
    <w:semiHidden/>
    <w:rsid w:val="00B202FC"/>
    <w:rPr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3A3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3A384C"/>
  </w:style>
  <w:style w:type="paragraph" w:styleId="ad">
    <w:name w:val="footer"/>
    <w:basedOn w:val="a"/>
    <w:link w:val="ae"/>
    <w:uiPriority w:val="99"/>
    <w:unhideWhenUsed/>
    <w:rsid w:val="003A3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3A3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4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4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13226">
                      <w:marLeft w:val="0"/>
                      <w:marRight w:val="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67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54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2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467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73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100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2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4686</Words>
  <Characters>26716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31340</CharactersWithSpaces>
  <SharedDoc>false</SharedDoc>
  <HLinks>
    <vt:vector size="24" baseType="variant">
      <vt:variant>
        <vt:i4>3932222</vt:i4>
      </vt:variant>
      <vt:variant>
        <vt:i4>9</vt:i4>
      </vt:variant>
      <vt:variant>
        <vt:i4>0</vt:i4>
      </vt:variant>
      <vt:variant>
        <vt:i4>5</vt:i4>
      </vt:variant>
      <vt:variant>
        <vt:lpwstr>http://www.krugosvet.ru/uploads/enc/images/5/12356395721956.jpg</vt:lpwstr>
      </vt:variant>
      <vt:variant>
        <vt:lpwstr/>
      </vt:variant>
      <vt:variant>
        <vt:i4>6815854</vt:i4>
      </vt:variant>
      <vt:variant>
        <vt:i4>6</vt:i4>
      </vt:variant>
      <vt:variant>
        <vt:i4>0</vt:i4>
      </vt:variant>
      <vt:variant>
        <vt:i4>5</vt:i4>
      </vt:variant>
      <vt:variant>
        <vt:lpwstr>http://www.krugosvet.ru/uploads/enc/images/5/1235639571d84d.jpg</vt:lpwstr>
      </vt:variant>
      <vt:variant>
        <vt:lpwstr/>
      </vt:variant>
      <vt:variant>
        <vt:i4>7143528</vt:i4>
      </vt:variant>
      <vt:variant>
        <vt:i4>3</vt:i4>
      </vt:variant>
      <vt:variant>
        <vt:i4>0</vt:i4>
      </vt:variant>
      <vt:variant>
        <vt:i4>5</vt:i4>
      </vt:variant>
      <vt:variant>
        <vt:lpwstr>http://www.krugosvet.ru/uploads/enc/images/5/1235639571e80b.jpg</vt:lpwstr>
      </vt:variant>
      <vt:variant>
        <vt:lpwstr/>
      </vt:variant>
      <vt:variant>
        <vt:i4>3670117</vt:i4>
      </vt:variant>
      <vt:variant>
        <vt:i4>0</vt:i4>
      </vt:variant>
      <vt:variant>
        <vt:i4>0</vt:i4>
      </vt:variant>
      <vt:variant>
        <vt:i4>5</vt:i4>
      </vt:variant>
      <vt:variant>
        <vt:lpwstr>http://www.krugosvet.ru/uploads/enc/images/5/12356395710e02.jpg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Агибалова</dc:creator>
  <cp:keywords>17670</cp:keywords>
  <dc:description>Банк рефератов Vzfeiinfo.Ru</dc:description>
  <cp:lastModifiedBy>Irina</cp:lastModifiedBy>
  <cp:revision>2</cp:revision>
  <cp:lastPrinted>2010-02-08T12:43:00Z</cp:lastPrinted>
  <dcterms:created xsi:type="dcterms:W3CDTF">2014-08-21T08:12:00Z</dcterms:created>
  <dcterms:modified xsi:type="dcterms:W3CDTF">2014-08-21T08:12:00Z</dcterms:modified>
</cp:coreProperties>
</file>