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601" w:rsidRDefault="000A4601" w:rsidP="00970D45">
      <w:pPr>
        <w:autoSpaceDE w:val="0"/>
        <w:autoSpaceDN w:val="0"/>
        <w:adjustRightInd w:val="0"/>
        <w:spacing w:after="0" w:line="240" w:lineRule="auto"/>
        <w:jc w:val="center"/>
        <w:rPr>
          <w:rFonts w:ascii="Times New Roman CYR" w:hAnsi="Times New Roman CYR" w:cs="Times New Roman CYR"/>
          <w:sz w:val="28"/>
          <w:szCs w:val="28"/>
        </w:rPr>
      </w:pP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МИНИСТЕРСТВО ОБРАЗОВАНИЯ И НАУКИ РОССИЙСКОЙ ФЕДЕРАЦИИ </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ФЕДЕРАЛЬНОЕ АГЕНСТВО ПО ОБРАЗОВАНИЮ </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РУБЦОВСКИЙ ИНДУСТРИАЛЬНЫЙ ИНСТИТУТ (ФИЛИАЛ)</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ГОУ ВПО </w:t>
      </w:r>
      <w:r w:rsidRPr="00D76FA9">
        <w:rPr>
          <w:rFonts w:ascii="Times New Roman" w:hAnsi="Times New Roman"/>
          <w:sz w:val="28"/>
          <w:szCs w:val="28"/>
        </w:rPr>
        <w:t>«</w:t>
      </w:r>
      <w:r>
        <w:rPr>
          <w:rFonts w:ascii="Times New Roman CYR" w:hAnsi="Times New Roman CYR" w:cs="Times New Roman CYR"/>
          <w:sz w:val="28"/>
          <w:szCs w:val="28"/>
        </w:rPr>
        <w:t xml:space="preserve">АЛТАЙСКИЙ ГОСУДАРСТВЕННЫЙ ТЕХНИЧЕСКИЙ </w:t>
      </w:r>
    </w:p>
    <w:p w:rsidR="000050B2" w:rsidRPr="00D76FA9" w:rsidRDefault="000050B2" w:rsidP="00970D45">
      <w:pPr>
        <w:autoSpaceDE w:val="0"/>
        <w:autoSpaceDN w:val="0"/>
        <w:adjustRightInd w:val="0"/>
        <w:spacing w:after="0" w:line="240" w:lineRule="auto"/>
        <w:jc w:val="center"/>
        <w:rPr>
          <w:rFonts w:ascii="Times New Roman" w:hAnsi="Times New Roman"/>
          <w:sz w:val="28"/>
          <w:szCs w:val="28"/>
        </w:rPr>
      </w:pPr>
      <w:r>
        <w:rPr>
          <w:rFonts w:ascii="Times New Roman CYR" w:hAnsi="Times New Roman CYR" w:cs="Times New Roman CYR"/>
          <w:sz w:val="28"/>
          <w:szCs w:val="28"/>
        </w:rPr>
        <w:t>УНИВЕРСИТЕТ ИМ. И. И. ПОЛЗУНОВА</w:t>
      </w:r>
      <w:r w:rsidRPr="00D76FA9">
        <w:rPr>
          <w:rFonts w:ascii="Times New Roman" w:hAnsi="Times New Roman"/>
          <w:sz w:val="28"/>
          <w:szCs w:val="28"/>
        </w:rPr>
        <w:t>»</w:t>
      </w: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Default="000050B2" w:rsidP="00970D45">
      <w:pPr>
        <w:autoSpaceDE w:val="0"/>
        <w:autoSpaceDN w:val="0"/>
        <w:adjustRightInd w:val="0"/>
        <w:spacing w:after="0" w:line="240" w:lineRule="auto"/>
        <w:jc w:val="center"/>
        <w:rPr>
          <w:rFonts w:ascii="Times New Roman CYR" w:hAnsi="Times New Roman CYR" w:cs="Times New Roman CYR"/>
          <w:b/>
          <w:bCs/>
          <w:sz w:val="52"/>
          <w:szCs w:val="52"/>
        </w:rPr>
      </w:pPr>
      <w:r>
        <w:rPr>
          <w:rFonts w:ascii="Times New Roman CYR" w:hAnsi="Times New Roman CYR" w:cs="Times New Roman CYR"/>
          <w:b/>
          <w:bCs/>
          <w:sz w:val="52"/>
          <w:szCs w:val="52"/>
        </w:rPr>
        <w:t>Контрольная работа</w:t>
      </w: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ascii="Times New Roman" w:hAnsi="Times New Roman"/>
          <w:sz w:val="28"/>
          <w:szCs w:val="28"/>
        </w:rPr>
      </w:pPr>
      <w:r>
        <w:rPr>
          <w:rFonts w:ascii="Times New Roman CYR" w:hAnsi="Times New Roman CYR" w:cs="Times New Roman CYR"/>
          <w:sz w:val="28"/>
          <w:szCs w:val="28"/>
        </w:rPr>
        <w:t xml:space="preserve">По дисциплине: </w:t>
      </w:r>
      <w:r w:rsidRPr="00D76FA9">
        <w:rPr>
          <w:rFonts w:ascii="Times New Roman" w:hAnsi="Times New Roman"/>
          <w:sz w:val="28"/>
          <w:szCs w:val="28"/>
        </w:rPr>
        <w:t>«</w:t>
      </w:r>
      <w:r>
        <w:rPr>
          <w:rFonts w:ascii="Times New Roman CYR" w:hAnsi="Times New Roman CYR" w:cs="Times New Roman CYR"/>
          <w:sz w:val="28"/>
          <w:szCs w:val="28"/>
        </w:rPr>
        <w:t>Финансы предприятия</w:t>
      </w:r>
      <w:r w:rsidRPr="00D76FA9">
        <w:rPr>
          <w:rFonts w:ascii="Times New Roman" w:hAnsi="Times New Roman"/>
          <w:sz w:val="28"/>
          <w:szCs w:val="28"/>
        </w:rPr>
        <w:t>»</w:t>
      </w: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Тема: «</w:t>
      </w:r>
      <w:r w:rsidRPr="00970D45">
        <w:rPr>
          <w:rFonts w:ascii="Times New Roman CYR" w:hAnsi="Times New Roman CYR" w:cs="Times New Roman CYR"/>
          <w:sz w:val="28"/>
          <w:szCs w:val="28"/>
        </w:rPr>
        <w:t>Организация денежных расчётов на предприятии</w:t>
      </w:r>
      <w:r>
        <w:rPr>
          <w:rFonts w:ascii="Times New Roman CYR" w:hAnsi="Times New Roman CYR" w:cs="Times New Roman CYR"/>
          <w:sz w:val="28"/>
          <w:szCs w:val="28"/>
        </w:rPr>
        <w:t>»</w:t>
      </w: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Pr="00D76FA9" w:rsidRDefault="000050B2" w:rsidP="00970D45">
      <w:pPr>
        <w:autoSpaceDE w:val="0"/>
        <w:autoSpaceDN w:val="0"/>
        <w:adjustRightInd w:val="0"/>
        <w:spacing w:after="0" w:line="240" w:lineRule="auto"/>
        <w:jc w:val="center"/>
        <w:rPr>
          <w:rFonts w:cs="Calibri"/>
        </w:rPr>
      </w:pP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sidRPr="00D76FA9">
        <w:rPr>
          <w:rFonts w:ascii="Times New Roman" w:hAnsi="Times New Roman"/>
          <w:sz w:val="28"/>
          <w:szCs w:val="28"/>
        </w:rPr>
        <w:t xml:space="preserve">                                                                </w:t>
      </w:r>
      <w:r>
        <w:rPr>
          <w:rFonts w:ascii="Times New Roman CYR" w:hAnsi="Times New Roman CYR" w:cs="Times New Roman CYR"/>
          <w:sz w:val="28"/>
          <w:szCs w:val="28"/>
        </w:rPr>
        <w:t>Выполнила:</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sidRPr="00D76FA9">
        <w:rPr>
          <w:rFonts w:ascii="Times New Roman" w:hAnsi="Times New Roman"/>
          <w:sz w:val="28"/>
          <w:szCs w:val="28"/>
        </w:rPr>
        <w:t xml:space="preserve">                                                                                </w:t>
      </w:r>
      <w:r>
        <w:rPr>
          <w:rFonts w:ascii="Times New Roman" w:hAnsi="Times New Roman"/>
          <w:sz w:val="28"/>
          <w:szCs w:val="28"/>
        </w:rPr>
        <w:t xml:space="preserve">  </w:t>
      </w:r>
      <w:r>
        <w:rPr>
          <w:rFonts w:ascii="Times New Roman CYR" w:hAnsi="Times New Roman CYR" w:cs="Times New Roman CYR"/>
          <w:sz w:val="28"/>
          <w:szCs w:val="28"/>
        </w:rPr>
        <w:t>студентка, гр. ФиК-71з</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sidRPr="00D76FA9">
        <w:rPr>
          <w:rFonts w:ascii="Times New Roman" w:hAnsi="Times New Roman"/>
          <w:sz w:val="28"/>
          <w:szCs w:val="28"/>
        </w:rPr>
        <w:t xml:space="preserve">                                                                 </w:t>
      </w:r>
      <w:r>
        <w:rPr>
          <w:rFonts w:ascii="Times New Roman" w:hAnsi="Times New Roman"/>
          <w:sz w:val="28"/>
          <w:szCs w:val="28"/>
        </w:rPr>
        <w:t xml:space="preserve">    </w:t>
      </w:r>
      <w:r w:rsidRPr="00D76FA9">
        <w:rPr>
          <w:rFonts w:ascii="Times New Roman" w:hAnsi="Times New Roman"/>
          <w:sz w:val="28"/>
          <w:szCs w:val="28"/>
        </w:rPr>
        <w:t xml:space="preserve"> </w:t>
      </w:r>
      <w:r>
        <w:rPr>
          <w:rFonts w:ascii="Times New Roman CYR" w:hAnsi="Times New Roman CYR" w:cs="Times New Roman CYR"/>
          <w:sz w:val="28"/>
          <w:szCs w:val="28"/>
        </w:rPr>
        <w:t>Черкасова Ю.В.</w:t>
      </w:r>
    </w:p>
    <w:p w:rsidR="000050B2" w:rsidRPr="0043459E" w:rsidRDefault="000050B2" w:rsidP="00970D45">
      <w:pPr>
        <w:autoSpaceDE w:val="0"/>
        <w:autoSpaceDN w:val="0"/>
        <w:adjustRightInd w:val="0"/>
        <w:spacing w:after="0" w:line="240" w:lineRule="auto"/>
        <w:jc w:val="center"/>
        <w:rPr>
          <w:rFonts w:cs="Calibri"/>
        </w:rPr>
      </w:pP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sidRPr="0043459E">
        <w:rPr>
          <w:rFonts w:ascii="Times New Roman" w:hAnsi="Times New Roman"/>
          <w:sz w:val="28"/>
          <w:szCs w:val="28"/>
        </w:rPr>
        <w:t xml:space="preserve">                                                               </w:t>
      </w:r>
      <w:r>
        <w:rPr>
          <w:rFonts w:ascii="Times New Roman CYR" w:hAnsi="Times New Roman CYR" w:cs="Times New Roman CYR"/>
          <w:sz w:val="28"/>
          <w:szCs w:val="28"/>
        </w:rPr>
        <w:t>Проверила:</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                                                                доцент к.ф.н</w:t>
      </w: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sidRPr="0043459E">
        <w:rPr>
          <w:rFonts w:ascii="Times New Roman" w:hAnsi="Times New Roman"/>
          <w:sz w:val="28"/>
          <w:szCs w:val="28"/>
        </w:rPr>
        <w:t xml:space="preserve">                                                                 </w:t>
      </w:r>
      <w:r>
        <w:rPr>
          <w:rFonts w:ascii="Times New Roman CYR" w:hAnsi="Times New Roman CYR" w:cs="Times New Roman CYR"/>
          <w:sz w:val="28"/>
          <w:szCs w:val="28"/>
        </w:rPr>
        <w:t>Манаев В. В.</w:t>
      </w: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Pr="0043459E" w:rsidRDefault="000050B2" w:rsidP="00970D45">
      <w:pPr>
        <w:autoSpaceDE w:val="0"/>
        <w:autoSpaceDN w:val="0"/>
        <w:adjustRightInd w:val="0"/>
        <w:spacing w:after="0" w:line="240" w:lineRule="auto"/>
        <w:jc w:val="center"/>
        <w:rPr>
          <w:rFonts w:cs="Calibri"/>
        </w:rPr>
      </w:pPr>
    </w:p>
    <w:p w:rsidR="000050B2" w:rsidRDefault="000050B2" w:rsidP="00970D45">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Рубцовск 2011г.</w:t>
      </w:r>
    </w:p>
    <w:p w:rsidR="000050B2" w:rsidRDefault="000050B2" w:rsidP="00970D45">
      <w:pPr>
        <w:spacing w:before="100" w:beforeAutospacing="1" w:after="100" w:afterAutospacing="1" w:line="360" w:lineRule="auto"/>
        <w:rPr>
          <w:rFonts w:ascii="Times New Roman" w:hAnsi="Times New Roman"/>
          <w:b/>
          <w:bCs/>
          <w:sz w:val="32"/>
          <w:szCs w:val="32"/>
        </w:rPr>
      </w:pPr>
    </w:p>
    <w:p w:rsidR="000050B2" w:rsidRPr="00970D45" w:rsidRDefault="000050B2" w:rsidP="00970D45">
      <w:pPr>
        <w:spacing w:before="100" w:beforeAutospacing="1" w:after="100" w:afterAutospacing="1" w:line="360" w:lineRule="auto"/>
        <w:ind w:firstLine="720"/>
        <w:jc w:val="center"/>
        <w:rPr>
          <w:rFonts w:ascii="Times New Roman" w:hAnsi="Times New Roman"/>
          <w:sz w:val="28"/>
          <w:szCs w:val="28"/>
        </w:rPr>
      </w:pPr>
      <w:r w:rsidRPr="00970D45">
        <w:rPr>
          <w:rFonts w:ascii="Times New Roman" w:hAnsi="Times New Roman"/>
          <w:b/>
          <w:bCs/>
          <w:sz w:val="28"/>
          <w:szCs w:val="28"/>
        </w:rPr>
        <w:t>План.</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Введение</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1.Методология оперативной финансовой работы предприятия</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2. Организация расчетов на предприятии</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Заключение</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Список литературы</w:t>
      </w: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center"/>
        <w:rPr>
          <w:rFonts w:ascii="Times New Roman" w:hAnsi="Times New Roman"/>
          <w:sz w:val="28"/>
          <w:szCs w:val="28"/>
        </w:rPr>
      </w:pPr>
      <w:r w:rsidRPr="00970D45">
        <w:rPr>
          <w:rFonts w:ascii="Times New Roman" w:hAnsi="Times New Roman"/>
          <w:b/>
          <w:bCs/>
          <w:sz w:val="28"/>
          <w:szCs w:val="28"/>
        </w:rPr>
        <w:t>Введение.</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Вопросы, которые будут рассмотрены в данной работе относятся к такой дисциплине, как Финансы предприятия. Что же такое финансы?</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 xml:space="preserve">Термин финансы произошел от латинского слова </w:t>
      </w:r>
      <w:r w:rsidRPr="00970D45">
        <w:rPr>
          <w:rFonts w:ascii="Times New Roman" w:hAnsi="Times New Roman"/>
          <w:sz w:val="28"/>
          <w:szCs w:val="28"/>
          <w:lang w:val="en-US"/>
        </w:rPr>
        <w:t>financia</w:t>
      </w:r>
      <w:r w:rsidRPr="00970D45">
        <w:rPr>
          <w:rFonts w:ascii="Times New Roman" w:hAnsi="Times New Roman"/>
          <w:sz w:val="28"/>
          <w:szCs w:val="28"/>
        </w:rPr>
        <w:t>, означающего доход, платеж при сделке. Впервые слово стало употребляться в торговых городах Италии в 13 – 15 вв. позже им стали обозначать денежные отношения.</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Финансы являются дальнейшим развитием денежных отношений, одной из сторон которых в начале стало государство. Именно государство нуждалось в денежных ресурсах для обеспечения своей деятельности, необходимой обществу.</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Финансы выражают экономические отношения по поводу производства, распределения и использования валового внутреннего продукта, то есть стоимость конечных товаров и услуг, произведенных резидентами данной страны на ее территории за определенный период времени, и национального дохода – часть ВВП за вычетом потребленных в процессе производства орудий и средств производства.</w:t>
      </w:r>
    </w:p>
    <w:p w:rsidR="000050B2" w:rsidRPr="00970D45" w:rsidRDefault="000050B2" w:rsidP="00970D45">
      <w:pPr>
        <w:spacing w:before="100" w:beforeAutospacing="1" w:after="100" w:afterAutospacing="1" w:line="360" w:lineRule="auto"/>
        <w:ind w:firstLine="720"/>
        <w:rPr>
          <w:rFonts w:ascii="Times New Roman" w:hAnsi="Times New Roman"/>
          <w:sz w:val="28"/>
          <w:szCs w:val="28"/>
        </w:rPr>
      </w:pPr>
      <w:r w:rsidRPr="00970D45">
        <w:rPr>
          <w:rFonts w:ascii="Times New Roman" w:hAnsi="Times New Roman"/>
          <w:sz w:val="28"/>
          <w:szCs w:val="28"/>
        </w:rPr>
        <w:t>В своей работе я кратко расскажу  о методах  оперативной финансовой работы предприятия и об организации  расчетов на предприятии.</w:t>
      </w:r>
    </w:p>
    <w:p w:rsidR="000050B2" w:rsidRPr="00970D45" w:rsidRDefault="000050B2" w:rsidP="00970D45">
      <w:pPr>
        <w:spacing w:before="100" w:beforeAutospacing="1" w:after="100" w:afterAutospacing="1" w:line="360" w:lineRule="auto"/>
        <w:ind w:firstLine="720"/>
        <w:jc w:val="both"/>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both"/>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both"/>
        <w:rPr>
          <w:rFonts w:ascii="Times New Roman" w:hAnsi="Times New Roman"/>
          <w:b/>
          <w:bCs/>
          <w:sz w:val="28"/>
          <w:szCs w:val="28"/>
        </w:rPr>
      </w:pPr>
    </w:p>
    <w:p w:rsidR="000050B2" w:rsidRDefault="000050B2" w:rsidP="00970D45">
      <w:pPr>
        <w:spacing w:before="100" w:beforeAutospacing="1" w:after="100" w:afterAutospacing="1" w:line="360" w:lineRule="auto"/>
        <w:ind w:firstLine="720"/>
        <w:jc w:val="both"/>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both"/>
        <w:rPr>
          <w:rFonts w:ascii="Times New Roman" w:hAnsi="Times New Roman"/>
          <w:b/>
          <w:bCs/>
          <w:sz w:val="28"/>
          <w:szCs w:val="28"/>
        </w:rPr>
      </w:pP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b/>
          <w:bCs/>
          <w:sz w:val="28"/>
          <w:szCs w:val="28"/>
        </w:rPr>
        <w:t xml:space="preserve">1.Методология оперативной финансовой работы предприятия.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 основе экономики рыночного типа на микроуровне лежит пятиэлементная система финансирования ее системообразующий компонентов: самофинансирование, прямое финансирование через механизм рынка капитала, банковское кредитование, бюджетное финансирование, взаимное финансирование хозяйствующих субъектов.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 xml:space="preserve">Самофинансирование. </w:t>
      </w:r>
      <w:r w:rsidRPr="00970D45">
        <w:rPr>
          <w:rFonts w:ascii="Times New Roman" w:hAnsi="Times New Roman"/>
          <w:sz w:val="28"/>
          <w:szCs w:val="28"/>
        </w:rPr>
        <w:t>В этом случае речь идет о финансировании деятельбности фирмы за счет генерируемой ею прибыли. Суть этого варианта заключается в следующем. Собственники предприятия всегда имеют выбор между: полным изъятием полученной в отчетном периоде прибыли с целью её потребления или инвестирования в другие проекты, реинвестированием прибыли в полном объеме в деятельность того же самого предприятия, поскольку такое приложение полученного дохода представляется им наиболее предпочтительным, и комбинацией первых двух вариантов, предусматривающей распределение полученного дохода на две части – реинвестированная прибыль и дивиденды.</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Именно последний вариант является наиболее распространенным. Он позволяет найти компромисс между текущим и отложенным потреблением, обеспечить наращивание объемов финансово-хозяйственной деятельности, получить выгоды в случае различий в налогообложении реализованного и капитализированного доходов.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Самофинансирование – наиболее очевидный способ мобилищзации дополнительных источников средств, однако он трудно прогнозируем в долгосрочном плане и ограничен в объемах. Поэтому любое стратегическое направление развития бизнеса предполагает привлечение дополнительных источников финансирования.</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Финансирование через механизмы рынка капитала.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Существует два основных варианта мобилизации ресурсов на рынке капитала: долевое и долговое финансирование. В первом случае компания выходит на рынок со своими акциями, то есть получает средства от дополнительной продажи акций либо путем увеличения числа собственников, либо за счет дополнительных вкладов уже существующих собственников. Во втором случае компания выпускает и продает на рынке срочные ценные бумаги, которые дают право их держателям на долгосрочное получение текущего дохода и возврат предоставленного капитала в соответствии с условиями, определенными при организации данного облигационного займа.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По сравнению с самофинансированием рынок капитала как источник обоснованного финансирования конкретной компании практически «бездонен».</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Банковское кредитование.</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Получение банковского кредита не связано с размерами производства заемщика, устойчивостью генерирования прибыли, степенью распространенности его акций на рынке капитала. главная проблема заключается в том, как убедить банкира выдать долгосрочный кредит на приемлемых условиях.</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Для нормального функционирования экономики крайне необходимо развитие сети инвестиционных банков; именно эти банки исключительно значимы в странах с развитой рыночной экономикой, поскольку им в известной степени принадлежит связующая роль между компаниями и рынками капитала. неудовлетворительное текущее положение с инвестиционным климатом в России, проявляющееся в том числе и в отсутствии инвестиционных банков, отчасти объясняет достаточно узкий спектр операций, выполняемых отечественными банками и сводящимися в основном к обслуживанию текущих платежей клиентов.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 xml:space="preserve">Бюджетное финансирование.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Это наиболее желаемый метод финансирования, предполагающий получение средств из бюджетов различного уровня. Привлекательность этой формы финансирования состоит в том, что за годы советской власти руководители предприятий привыкли к тому, что этот источник средств практически бесплатен, нередко полученные средства не возвращаются, а их расходование слабо контролируется. В силу ряда объективных причин доступ к этому источнику постоянно сужается.</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Взаимное финансирование хозяйствующих субъектов.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Поскольку в ходе осуществления хозяйственных связей предприятия поставляют друг другу продукцию на условиях оплаты с отсрочкой платежа, естественным образом возникает взаимное финансирование. Величина средств в значительной степени зависит от многих факторов, в том числе и разветвленности и гибкости банковской системы. Принципиальное отличие данного метода финансирования от предыдущих заключается в том, что он является составной частью системы краткосрочного финансирования текущей деятельности, тогда как другие методы имеют стратегическую значимость.</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 условиях централизованно планируемой экономики имеет место абсолютная доминанта двух последних элементов приведенной системы – бюджетного финансирования и взаимного финансирования предприятий; в рыночной экономике прибыль и рынки капитала рассматриваются как основные способы наращивания экономического потенциала хозяйствующих субъектов. Прибыль – наиболее дешевый и быстро мобилизуемый источник, однако, во-первых, его объемы ограничены и , во-вторых, существуют некоторые обязательные и весьма желательные направления использования текущей прибыли. Второй источник, напротив, требует немалых расходов по его созданию и реализации, кроме того, подготовка и проведение эмиссии – довольно  продолжительны во времени; поэтому к данному источнику прибегают лишь после тщательной подготовки и в случае необходимости мобилизации крупного капитала, необходимо для реализации проектов, имеющих для компании стратегически важное значение.</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Перечисленными способами не исчерпывается все их многообразие. В последние десятилетия появляются новые методы финансовой работы предприятий.</w:t>
      </w:r>
    </w:p>
    <w:p w:rsidR="000050B2" w:rsidRPr="00970D45" w:rsidRDefault="000050B2" w:rsidP="00970D45">
      <w:pPr>
        <w:spacing w:before="100" w:beforeAutospacing="1" w:after="100" w:afterAutospacing="1" w:line="360" w:lineRule="auto"/>
        <w:ind w:firstLine="720"/>
        <w:jc w:val="center"/>
        <w:rPr>
          <w:rFonts w:ascii="Times New Roman" w:hAnsi="Times New Roman"/>
          <w:sz w:val="28"/>
          <w:szCs w:val="28"/>
        </w:rPr>
      </w:pPr>
      <w:r w:rsidRPr="00970D45">
        <w:rPr>
          <w:rFonts w:ascii="Times New Roman" w:hAnsi="Times New Roman"/>
          <w:b/>
          <w:bCs/>
          <w:sz w:val="28"/>
          <w:szCs w:val="28"/>
        </w:rPr>
        <w:t>2. Организация расчетов на предприятии.</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Любое  предприятие ежедневно осуществляет огромное количество расчетных операций со своими контрагентами, бюджетом, работниками, собственниками. Безусловно, доминирующую роль в расчетных операциях составляют расчеты: за приобретенные сырье и материалы, и за проданную продукцию. В первом случае на предприятии имеет место отток денежных средств, во втором - их приток В зависимости от формы расчетов между предприятием и его контрагентами потоки материальных ресурсов и соответствующие им потоки денежных средств чаще всего не, совпадают во времени.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В соответствии с Гражданским кодексом РФ платежи по территории России осуществляются путем наличных или безналичных расчетов. При наличных расчетах происходит передача денежных средств в форме банкнот и монет, а при безналичных – право на денежную сумму передастся путем оформления соответствующих расчетных документов и проведения записей по счетам.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В настоящее время осуществление расчетов наличными  денежными средствами  существенно ограничено. Гражданский кодекс РФ устанавливает, что выбор наличной или безналичной формы расчетов напрямую связан с характером производимой операции, а также с правовым статусом участников. Расчеты юридических лиц, а также расчеты с участием граждан, связанные с, осуществлением последними предпринимательской деятельности, по общему правилу, осуществляются в безналичном порядке. Без каких-либо ограничений наличными денежными, средствами могут рассчитываться только физические лица и только по операциям, не связанным с осуществлением ими предпринимательской деятельности. Безналичная форма расчетов, связана с оформлением соответствующих документов единообразной формы и поэтому более трудоемка.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Безналичные расчеты - это расчеты совершаемые путем перевода банками средств по счетам клиентов, на основе платежных документов, составленных по единым стандартам, и правилам. Безналичные расчеты осуществляются через кредитные организации и Банк России по счетам, открытым на основании договоров банковского счета или корреспондентского счета (субсчета), если иное не установлено законодательством и не обусловлено используемой формой расчетов.  Принципы организации безналичных расчетов.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1.Документальность.</w:t>
      </w:r>
      <w:r w:rsidRPr="00970D45">
        <w:rPr>
          <w:rFonts w:ascii="Times New Roman" w:hAnsi="Times New Roman"/>
          <w:sz w:val="28"/>
          <w:szCs w:val="28"/>
        </w:rPr>
        <w:t xml:space="preserve"> Платежи со счетов производятся банковскими или другими расчетными учреждениями только по письменному распоряжению клиентов либо по  приказу судебных или иных органов, которым законодательно предоставлено данное право. Распоряжение о списании средств со счета может быть, дано: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 путем выписки документа единообразной формы, содержащего приказ (поручение) о списании средств;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В форме согласия оплатить предъявленное требование (акцепт).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2. Срочность.</w:t>
      </w:r>
      <w:r w:rsidRPr="00970D45">
        <w:rPr>
          <w:rFonts w:ascii="Times New Roman" w:hAnsi="Times New Roman"/>
          <w:sz w:val="28"/>
          <w:szCs w:val="28"/>
        </w:rPr>
        <w:t xml:space="preserve">  Этот принцип относится в основном к порядку и срокам обработки документов банковскими учреждениями, срокам списания и зачисления средств на счета. Различными  инструктивными документами Банка России установлены унифицированные сроки обработки платежных документов в коммерческих банках и расчетно-кассовых центрах Банка России. Общий срок безналичных расчетов не должен превышать двух операционных дней в пределах субъекта Российской Федерации, и пяти операционных дней в пределах Российской Федерации.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3. Обеспеченность платежа.</w:t>
      </w:r>
      <w:r w:rsidRPr="00970D45">
        <w:rPr>
          <w:rFonts w:ascii="Times New Roman" w:hAnsi="Times New Roman"/>
          <w:sz w:val="28"/>
          <w:szCs w:val="28"/>
        </w:rPr>
        <w:t xml:space="preserve"> Этот принцип подразумевает осуществление платежей со счета в пределах имеющихся на нем сумм. Все документальные поручения о списании средств со счета исполняются банком в соответствии с очередностью списания денежных средств, установленной СТ. 855 части 2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4. Свобода выбора форм безналичных расчетов.</w:t>
      </w:r>
      <w:r w:rsidRPr="00970D45">
        <w:rPr>
          <w:rFonts w:ascii="Times New Roman" w:hAnsi="Times New Roman"/>
          <w:sz w:val="28"/>
          <w:szCs w:val="28"/>
        </w:rPr>
        <w:t xml:space="preserve"> Действующим законодательством установлены несколько форм расчетов и видов платежей, которые организации-контрагенты могут выбирать по cвoему   усмотрению: расчеты платежными поручениями; расчеты. по аккредитиву; расчеты чеками; расчеты по инкассо. Каких-либо ограничений со стороны банка  по выбору форм расчетов не допускаются.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i/>
          <w:iCs/>
          <w:sz w:val="28"/>
          <w:szCs w:val="28"/>
        </w:rPr>
        <w:t>5. Унификация платежных документов.</w:t>
      </w:r>
      <w:r w:rsidRPr="00970D45">
        <w:rPr>
          <w:rFonts w:ascii="Times New Roman" w:hAnsi="Times New Roman"/>
          <w:sz w:val="28"/>
          <w:szCs w:val="28"/>
        </w:rPr>
        <w:t xml:space="preserve"> Законодательно установлено, что расчетные документы оформляются на бланках  единообразной формы в бумажном или электроном видах, Расчетные  документы должны содержать следующие реквизиты: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наименование расчетного документа и код формы;  номер расчетного документа, число, месяц, год его выписки; вид платежа; наименование плательщика, номер его счета в банке; наименование и местонахождение банков плательщика и получателя, банковские идентификационные коды, номера корреспондентских, счетов банков; наименование получателя средств, номер его счета в банке, идентификационный номер налогоплательщика; назначение платежа; сумму платежа, обозначенную цифрами и прописью; очередность платежа;  подписи уполномоченных лиц и оттиск печати (в установленных случаях).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Расчетные документы действительны в течение десяти дней, не считая дня их выписки. Исправления" помарки и подчистки в расчетных документах не допускаются.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Существует несколько видов безналичного расчета:</w:t>
      </w:r>
    </w:p>
    <w:p w:rsidR="000050B2" w:rsidRPr="00970D45" w:rsidRDefault="000050B2" w:rsidP="00970D45">
      <w:pPr>
        <w:spacing w:before="100" w:beforeAutospacing="1" w:after="100" w:afterAutospacing="1" w:line="360" w:lineRule="auto"/>
        <w:ind w:left="720" w:firstLine="720"/>
        <w:jc w:val="both"/>
        <w:rPr>
          <w:rFonts w:ascii="Times New Roman" w:hAnsi="Times New Roman"/>
          <w:sz w:val="28"/>
          <w:szCs w:val="28"/>
        </w:rPr>
      </w:pPr>
      <w:r w:rsidRPr="00970D45">
        <w:rPr>
          <w:rFonts w:ascii="Times New Roman" w:hAnsi="Times New Roman"/>
          <w:b/>
          <w:bCs/>
          <w:sz w:val="28"/>
          <w:szCs w:val="28"/>
        </w:rPr>
        <w:t xml:space="preserve">1.                Расчеты платежными поручениями.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Платежное поручение представляет собой поручение. организации обслуживающему банку о перечислении определенной суммы со своего счета на счет указанного плательщиком лица. В современной хозяйственной практике указанная форма расчетов является основной.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 день, принятия банком от клиента платежного поручения у банка возникает обязательство перед клиентом в сроки, установленные законодательством и договором, перечислить денежные средства по назначению с корреспондентского счета (субсчета), иных счетов, открытых для проведения расчетных операций, при соблюдении, Клиентом следующих условий:   правильного указания реквизитов плательщика, получателя денежных средств, обязательных для осуществления операций  по перечислению средств;  наличие на его счете денежных средств в сумме, достаточной для исполнения принятого документа.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Платежное поручение действительно в течение 10 дней, начиная со дня, следующего за днем выписки. В отдельных случаях используются безотзывные поручения, действующие в течение неопределенного времени.</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Организация-плательщик выписывает четыре экземпляра платежного поручения на бланке унифицированной формы по одному для каждого участника сделки. На одном экземпляре ставиться оригинальная печать организации, а также этот экземпляр подписывается первой и второй подписями. Указанный экземпляр является основанием для списания средств в банке и остается в банковской документации. Второй экземпляр поручения возвращается  к плательщику с отметкой банка о принятии поручения к исполнению. Третий и четвертый экземпляры поручения поступают в банк продавца. На основании третьего экземпляра производится зачисление средств на счет получателя. Последний экземпляр прилагается к выписке со счета получателя  в качестве подтверждения совершения операции по зачислению средств.</w:t>
      </w:r>
    </w:p>
    <w:p w:rsidR="000050B2" w:rsidRPr="00970D45" w:rsidRDefault="000050B2" w:rsidP="00970D45">
      <w:pPr>
        <w:spacing w:before="100" w:beforeAutospacing="1" w:after="100" w:afterAutospacing="1" w:line="360" w:lineRule="auto"/>
        <w:ind w:left="720" w:firstLine="720"/>
        <w:jc w:val="both"/>
        <w:rPr>
          <w:rFonts w:ascii="Times New Roman" w:hAnsi="Times New Roman"/>
          <w:sz w:val="28"/>
          <w:szCs w:val="28"/>
        </w:rPr>
      </w:pPr>
      <w:r w:rsidRPr="00970D45">
        <w:rPr>
          <w:rFonts w:ascii="Times New Roman" w:hAnsi="Times New Roman"/>
          <w:b/>
          <w:bCs/>
          <w:sz w:val="28"/>
          <w:szCs w:val="28"/>
        </w:rPr>
        <w:t>2.               Расчеты аккредитивами.</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 В соответствии с Положением о безналичных расчетах аккредитив представляет собой условное денежное обязательство, принимаемое банком (банк-эмитент) по поручению плательщика, произвести платежи в пользу получателя средств по предъявлении последним документов, соответствующих условиям аккредитива, или предоставить полномочия другому банку (исполняющий банк) произвести такие платежи.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Содержание аккредитивной  формы расчетов, заключается, в том, что плательщик и поставщик передают банкам, в которых они обслуживаются, функции по контролю за соблюдением условий договора в части сумм и сроков оплаты. В банке поставщика открывается специальный счет, на котором депонируются средства плательщика. Указанные средства бронируются на определенный срок, который устанавливается в основном договоре. Послё того как поставщик убеждается в том, что необходимые средства зарезервированы, он отгружает продукцию или выполняет соответствующие, услуги. или работы. Документы, свидетельствующие об отгрузке товаров или выполнении работ, представляются поставщиком в банк. Исполняющий  банк проверяет соответствие отгрузки условиям аккредитива, и в случае полного соблюдения контракта денежные средства списываются непосредственно на счет поставщика. Документы,  свидетельствующие об отгрузке, продукции, исполняющий банк пересылает банку-эмитенту, откуда они попадают к покупателю. Выплаты с аккредитива могут осуществляться только в безналичной' форме.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В современной практике используются несколько видов аккредитивной формы расчетов, возможность использования которых содержится в договоре банковского счета. При депонированном, или ,открытом, аккредитиве банк плательщика (банк-эмитент) перечисляет в банк получателя (исполняющий банк) соответствующую сумму со счета плательщика, или за счет средств предоставленного ему кредита. Таким образом, необходимые денежные средства списываются со счета плательщика еще до момента исполнения поставщиком  обязательств по договору. Указанная форма, аккредитивных расчетов применяется в случае, если' между банками, обслуживающими участников сделки, не установлены корреспондентские отношения.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При наличии у банков корреспондентских счетов друг у друга, как правило, применяется непокрытый, или гарантированный, аккредитив. В этом случае средства, списанные с расчетного счета покупателя, непосредственно в банк поставщика не перечисляются,  а депонируются на специальном счете. Выплата поставщику по аккредитиву производится за  счет средств на корреспондентском счете банка покупателя в банке поставщика. В этом случае сроки расчетов между контрагентами сокращаются.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Возможны и другие классификации аккредитивной формы расчетов.</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Например. Отзывный аккредитив может быть изменен банком-эмитентом без предварительного уведомления организации-получателя средств. При этом отзыв аккредитива не создает каких-либо обязательств банка-эмитента перед получателем соответственно после получения извещения об отзыве исполняющий банк платежи не производит.</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Безотзывным признается аккредитив, который может быть отменен или изменен только с согласия поставщика. В этом случае исполняющий банк обязуется осуществлять платеж поставщику при выполнении последним условий аккредитива. Именно это форма аккредитива получила свое развитие на практике.</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При посреднических операциях применяется переводной аккредитив. Если поставщик реализует продукцию покупателя через своего представителя - посредника, в качестве средства платежа покупатель может использовать переводной аккредитив, при котором платежи осуществляются как в пользу посредника, так и в пользу основного поставщика. При этом перевод аккредитива может осуществляться только один раз.</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В случае периодических поставок или выполнения работ по этапам используется возобновляемый аккредитив. Существует два варианта использования данного вида аккредитива. В первом случае после поставки определенной партии или выполнения соответствующего этапа работ с аккредитива производятся платежи до тех пор, пока на аккредитиве имеются денежные средства. Второй вариант предусматривает депонирование соответствующей суммы под каждую поставку или этап работ. В качестве преимуществ данного вида аккредитива можно отметить сокращение сроков и непрерывный характер расчетов. </w:t>
      </w:r>
    </w:p>
    <w:p w:rsidR="000050B2" w:rsidRPr="00970D45" w:rsidRDefault="000050B2" w:rsidP="00970D45">
      <w:pPr>
        <w:spacing w:before="100" w:beforeAutospacing="1" w:after="100" w:afterAutospacing="1" w:line="360" w:lineRule="auto"/>
        <w:ind w:left="720" w:firstLine="720"/>
        <w:jc w:val="both"/>
        <w:rPr>
          <w:rFonts w:ascii="Times New Roman" w:hAnsi="Times New Roman"/>
          <w:sz w:val="28"/>
          <w:szCs w:val="28"/>
        </w:rPr>
      </w:pPr>
      <w:r w:rsidRPr="00970D45">
        <w:rPr>
          <w:rFonts w:ascii="Times New Roman" w:hAnsi="Times New Roman"/>
          <w:b/>
          <w:bCs/>
          <w:sz w:val="28"/>
          <w:szCs w:val="28"/>
        </w:rPr>
        <w:t>3.               Расчеты чеками.</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Чеком признается ценная бумага, содержащая ничем не обусловленное распоряжение чекодателя обслуживающему его банку произвести платеж указанной в чеке суммы чекодержателю. В хозяйственной практике выделяют два вида чеков: денежные предназначены для выплаты чекодержателю наличных денежных средств) и расчетные используются для расчетов между юридическими лицами.</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Расчетные чеки представлены депонированными и гарантированными чеками различие между ними заключается в том, что при оформлении депонированной чековой книжки клиент предварительно перечисляет на отдельный лицевой счет соответствующую сумму, что обеспечивает гарантию платежа по данным чекам, то есть одновременно с заявлением о выдаче чековой книжки в банк представляется платежное поручение. Именно депонированные чеки получили наибольшее распространение в современной отечественной практике.</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Гарантированная чековая книжка предварительного депонирования средств не предусматривает. Покрытием чека выступают средства чекодателя на расчетном счете в пределах соответствующей суммы гарантии, установленной банком при выдаче чековой книжки. При временном отсутствии средств на счете плательщика банк может произвести оплату за счет собственных средств в пределах установленной суммы, если данная услуга установлена соглашением между банком и клиентом.</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Порядок использования расчетных чеков в хозяйственной практике регулируется гражданским кодексом РФ. В соответствии с ним чек должен содержать следующие реквизиты:</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Наименование «чек», включенное в текст документа;</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Поручение плательщику выплатить определенную денежную сумму;</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Наименование плательщика и указание счета, с которого должен быть произведен платеж;</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Указание валюты платежа;</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Указание даты и места составления чека;</w:t>
      </w:r>
    </w:p>
    <w:p w:rsidR="000050B2" w:rsidRPr="00970D45" w:rsidRDefault="000050B2" w:rsidP="00970D45">
      <w:pPr>
        <w:spacing w:before="100" w:beforeAutospacing="1" w:after="100" w:afterAutospacing="1" w:line="360" w:lineRule="auto"/>
        <w:ind w:left="1080" w:firstLine="720"/>
        <w:jc w:val="both"/>
        <w:rPr>
          <w:rFonts w:ascii="Times New Roman" w:hAnsi="Times New Roman"/>
          <w:sz w:val="28"/>
          <w:szCs w:val="28"/>
        </w:rPr>
      </w:pPr>
      <w:r w:rsidRPr="00970D45">
        <w:rPr>
          <w:rFonts w:ascii="Times New Roman" w:hAnsi="Times New Roman"/>
          <w:sz w:val="28"/>
          <w:szCs w:val="28"/>
        </w:rPr>
        <w:t>-      Подпись лица, выписавшего чек, - чекодателя.</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Отсутствие в документе какого-либо из указанных реквизитов лишает его силы чека.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По отечественному законодательству чек должен быть предъявлен к оплате в течении 10 дней, не считая дня его выдачи. Выдача чека не погашает обязательства чекодателя, в исполнение которого он выдан.</w:t>
      </w:r>
    </w:p>
    <w:p w:rsidR="000050B2" w:rsidRPr="00970D45" w:rsidRDefault="000050B2" w:rsidP="00970D45">
      <w:pPr>
        <w:spacing w:before="100" w:beforeAutospacing="1" w:after="100" w:afterAutospacing="1" w:line="360" w:lineRule="auto"/>
        <w:ind w:left="720" w:firstLine="720"/>
        <w:jc w:val="both"/>
        <w:rPr>
          <w:rFonts w:ascii="Times New Roman" w:hAnsi="Times New Roman"/>
          <w:sz w:val="28"/>
          <w:szCs w:val="28"/>
        </w:rPr>
      </w:pPr>
      <w:r w:rsidRPr="00970D45">
        <w:rPr>
          <w:rFonts w:ascii="Times New Roman" w:hAnsi="Times New Roman"/>
          <w:b/>
          <w:bCs/>
          <w:sz w:val="28"/>
          <w:szCs w:val="28"/>
        </w:rPr>
        <w:t>4.               Расчеты по инкассо.</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Расчеты по инкассо представляют собой банковскую операцию, посредством которой банк берет на себя обязательства по получению от плательщика платежа на основании представленных на инкассо документов. Суть указанной операции заключается в том, что распоряжение о списании средств со счета плательщика оформляется не самим плательщиком, а получателем в рамках предоставленного ему права.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Расчеты по инкассо могут осуществляться в акцептом, то есть когда плательщик подтверждает представленные в его банк документы на списание денежных средств, так и без акцепта, в случаях, установленных законодательством.</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 современной практике инкассовая форма расчетов осуществляется на основании платежных требований и инкассовых поручений. Указанные документы предъявляются получателем средств к счету плательщика через банк, обслуживающий получателя.</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Платежное требование-поручение используется, как правило, в коммерческом обороте и представляет собой расчетный документ, который содержит требование кредитора (получателя средств) по основному договору к должнику (плательщику) об уплате определенной денежной суммы через банк. Расчеты платежными требованиями-поручениями могут осуществляться с акцептом или без акцепта плательщика. При расчетах между коммерческими организациями платежные требования без акцепта используются только в случае, если данное условие установлено основным договором между контрагентами, а также при наличии в договоре банковского счета между плательщиком и своим банком условия о возможности безакцептного списания денежных средств. В хозяйственной практике между коммерческими организациями безакцептные платежные требования используются достаточно редко, в основном расчеты осуществляются платежными требованиями, оплачиваемыми с акцептом плательщика.</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Платежные требования предоставляются в банк получателя на бланке установленной формы. Кроме основных реквизитов платежных документов, указанных ранее, платежное требование должно содержать:</w:t>
      </w:r>
    </w:p>
    <w:p w:rsidR="000050B2" w:rsidRPr="00970D45" w:rsidRDefault="000050B2" w:rsidP="00970D45">
      <w:pPr>
        <w:spacing w:before="100" w:beforeAutospacing="1" w:after="100" w:afterAutospacing="1" w:line="360" w:lineRule="auto"/>
        <w:ind w:left="1800" w:hanging="360"/>
        <w:jc w:val="both"/>
        <w:rPr>
          <w:rFonts w:ascii="Times New Roman" w:hAnsi="Times New Roman"/>
          <w:sz w:val="28"/>
          <w:szCs w:val="28"/>
        </w:rPr>
      </w:pPr>
      <w:r w:rsidRPr="00970D45">
        <w:rPr>
          <w:rFonts w:ascii="Times New Roman" w:hAnsi="Times New Roman"/>
          <w:sz w:val="28"/>
          <w:szCs w:val="28"/>
        </w:rPr>
        <w:t>-       Условие оплаты (с акцептом или без);</w:t>
      </w:r>
    </w:p>
    <w:p w:rsidR="000050B2" w:rsidRPr="00970D45" w:rsidRDefault="000050B2" w:rsidP="00970D45">
      <w:pPr>
        <w:spacing w:before="100" w:beforeAutospacing="1" w:after="100" w:afterAutospacing="1" w:line="360" w:lineRule="auto"/>
        <w:ind w:left="1800" w:hanging="360"/>
        <w:jc w:val="both"/>
        <w:rPr>
          <w:rFonts w:ascii="Times New Roman" w:hAnsi="Times New Roman"/>
          <w:sz w:val="28"/>
          <w:szCs w:val="28"/>
        </w:rPr>
      </w:pPr>
      <w:r w:rsidRPr="00970D45">
        <w:rPr>
          <w:rFonts w:ascii="Times New Roman" w:hAnsi="Times New Roman"/>
          <w:sz w:val="28"/>
          <w:szCs w:val="28"/>
        </w:rPr>
        <w:t>-       Срок для акцепта (срок определяется контрагентами по основному договору, но не должен быть менее пяти рабочих дней);</w:t>
      </w:r>
    </w:p>
    <w:p w:rsidR="000050B2" w:rsidRPr="00970D45" w:rsidRDefault="000050B2" w:rsidP="00970D45">
      <w:pPr>
        <w:spacing w:before="100" w:beforeAutospacing="1" w:after="100" w:afterAutospacing="1" w:line="360" w:lineRule="auto"/>
        <w:ind w:left="1800" w:hanging="360"/>
        <w:jc w:val="both"/>
        <w:rPr>
          <w:rFonts w:ascii="Times New Roman" w:hAnsi="Times New Roman"/>
          <w:sz w:val="28"/>
          <w:szCs w:val="28"/>
        </w:rPr>
      </w:pPr>
      <w:r w:rsidRPr="00970D45">
        <w:rPr>
          <w:rFonts w:ascii="Times New Roman" w:hAnsi="Times New Roman"/>
          <w:sz w:val="28"/>
          <w:szCs w:val="28"/>
        </w:rPr>
        <w:t>-       Дата отсылки (вручения) плательщику предусмотренных основным договором документов, свидетельствующих о выполнении поставщиком условий договора;</w:t>
      </w:r>
    </w:p>
    <w:p w:rsidR="000050B2" w:rsidRPr="00970D45" w:rsidRDefault="000050B2" w:rsidP="00970D45">
      <w:pPr>
        <w:spacing w:before="100" w:beforeAutospacing="1" w:after="100" w:afterAutospacing="1" w:line="360" w:lineRule="auto"/>
        <w:ind w:left="1800" w:hanging="360"/>
        <w:jc w:val="both"/>
        <w:rPr>
          <w:rFonts w:ascii="Times New Roman" w:hAnsi="Times New Roman"/>
          <w:sz w:val="28"/>
          <w:szCs w:val="28"/>
        </w:rPr>
      </w:pPr>
      <w:r w:rsidRPr="00970D45">
        <w:rPr>
          <w:rFonts w:ascii="Times New Roman" w:hAnsi="Times New Roman"/>
          <w:sz w:val="28"/>
          <w:szCs w:val="28"/>
        </w:rPr>
        <w:t>-       Наименование товара, работ, услуг, реквизиты основного хозяйственного договора.</w:t>
      </w:r>
    </w:p>
    <w:p w:rsidR="000050B2" w:rsidRPr="00970D45" w:rsidRDefault="000050B2" w:rsidP="00970D45">
      <w:pPr>
        <w:spacing w:before="100" w:beforeAutospacing="1" w:after="100" w:afterAutospacing="1" w:line="360" w:lineRule="auto"/>
        <w:jc w:val="both"/>
        <w:rPr>
          <w:rFonts w:ascii="Times New Roman" w:hAnsi="Times New Roman"/>
          <w:sz w:val="28"/>
          <w:szCs w:val="28"/>
        </w:rPr>
      </w:pPr>
      <w:r w:rsidRPr="00970D45">
        <w:rPr>
          <w:rFonts w:ascii="Times New Roman" w:hAnsi="Times New Roman"/>
          <w:sz w:val="28"/>
          <w:szCs w:val="28"/>
        </w:rPr>
        <w:t> </w:t>
      </w:r>
    </w:p>
    <w:p w:rsidR="000050B2" w:rsidRPr="00970D45" w:rsidRDefault="000050B2" w:rsidP="00970D45">
      <w:pPr>
        <w:spacing w:before="100" w:beforeAutospacing="1" w:after="100" w:afterAutospacing="1" w:line="360" w:lineRule="auto"/>
        <w:jc w:val="center"/>
        <w:rPr>
          <w:rFonts w:ascii="Times New Roman" w:hAnsi="Times New Roman"/>
          <w:sz w:val="28"/>
          <w:szCs w:val="28"/>
        </w:rPr>
      </w:pPr>
      <w:r w:rsidRPr="00970D45">
        <w:rPr>
          <w:rFonts w:ascii="Times New Roman" w:hAnsi="Times New Roman"/>
          <w:b/>
          <w:bCs/>
          <w:sz w:val="28"/>
          <w:szCs w:val="28"/>
        </w:rPr>
        <w:t xml:space="preserve">Заключение. </w:t>
      </w: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 xml:space="preserve">В заключении можно выделить следующее: </w:t>
      </w:r>
    </w:p>
    <w:p w:rsidR="000050B2" w:rsidRPr="00970D45" w:rsidRDefault="000050B2" w:rsidP="00970D45">
      <w:pPr>
        <w:spacing w:before="100" w:beforeAutospacing="1" w:after="100" w:afterAutospacing="1" w:line="360" w:lineRule="auto"/>
        <w:ind w:left="720" w:hanging="360"/>
        <w:jc w:val="both"/>
        <w:rPr>
          <w:rFonts w:ascii="Times New Roman" w:hAnsi="Times New Roman"/>
          <w:sz w:val="28"/>
          <w:szCs w:val="28"/>
        </w:rPr>
      </w:pPr>
      <w:r w:rsidRPr="00970D45">
        <w:rPr>
          <w:rFonts w:ascii="Times New Roman" w:hAnsi="Times New Roman"/>
          <w:sz w:val="28"/>
          <w:szCs w:val="28"/>
        </w:rPr>
        <w:t>1.     В основе экономики рыночного типа на микроуровне лежит пятиэлементная система финансирования ее системообразующий компонентов: самофинансирование, прямое финансирование через механизм рынка капитала, банковское кредитование, бюджетное финансирование, взаимное финансирование хозяйствующих субъектов. На мой взгляд, наиболее удобным является метод прямого финансирования через механизм рынка капитала, потому что он, как отмечалось выше, «бездонен».</w:t>
      </w:r>
    </w:p>
    <w:p w:rsidR="000050B2" w:rsidRPr="00970D45" w:rsidRDefault="000050B2" w:rsidP="00970D45">
      <w:pPr>
        <w:spacing w:before="100" w:beforeAutospacing="1" w:after="100" w:afterAutospacing="1" w:line="360" w:lineRule="auto"/>
        <w:ind w:left="720" w:hanging="360"/>
        <w:jc w:val="both"/>
        <w:rPr>
          <w:rFonts w:ascii="Times New Roman" w:hAnsi="Times New Roman"/>
          <w:sz w:val="28"/>
          <w:szCs w:val="28"/>
        </w:rPr>
      </w:pPr>
      <w:r w:rsidRPr="00970D45">
        <w:rPr>
          <w:rFonts w:ascii="Times New Roman" w:hAnsi="Times New Roman"/>
          <w:sz w:val="28"/>
          <w:szCs w:val="28"/>
        </w:rPr>
        <w:t>2.     В соответствии с Гражданским кодексом РФ платежи по территории России осуществляются путем наличных или безналичных расчетов.</w:t>
      </w:r>
    </w:p>
    <w:p w:rsidR="000050B2" w:rsidRPr="00970D45" w:rsidRDefault="000050B2" w:rsidP="00970D45">
      <w:pPr>
        <w:spacing w:before="100" w:beforeAutospacing="1" w:after="100" w:afterAutospacing="1" w:line="360" w:lineRule="auto"/>
        <w:ind w:left="720" w:hanging="360"/>
        <w:jc w:val="both"/>
        <w:rPr>
          <w:rFonts w:ascii="Times New Roman" w:hAnsi="Times New Roman"/>
          <w:sz w:val="28"/>
          <w:szCs w:val="28"/>
        </w:rPr>
      </w:pPr>
      <w:r w:rsidRPr="00970D45">
        <w:rPr>
          <w:rFonts w:ascii="Times New Roman" w:hAnsi="Times New Roman"/>
          <w:sz w:val="28"/>
          <w:szCs w:val="28"/>
        </w:rPr>
        <w:t xml:space="preserve">3.     Существуют следующие виды безналичного расчета: расчеты платежными поручениями, расчеты аккредитивами, расчеты чеками, расчеты по инкассо. </w:t>
      </w:r>
    </w:p>
    <w:p w:rsidR="000050B2" w:rsidRPr="00970D45" w:rsidRDefault="000050B2" w:rsidP="00970D45">
      <w:pPr>
        <w:spacing w:before="100" w:beforeAutospacing="1" w:after="100" w:afterAutospacing="1" w:line="360" w:lineRule="auto"/>
        <w:ind w:left="720" w:hanging="360"/>
        <w:jc w:val="both"/>
        <w:rPr>
          <w:rFonts w:ascii="Times New Roman" w:hAnsi="Times New Roman"/>
          <w:sz w:val="28"/>
          <w:szCs w:val="28"/>
        </w:rPr>
      </w:pPr>
      <w:r w:rsidRPr="00970D45">
        <w:rPr>
          <w:rFonts w:ascii="Times New Roman" w:hAnsi="Times New Roman"/>
          <w:sz w:val="28"/>
          <w:szCs w:val="28"/>
        </w:rPr>
        <w:t>4.     существует 5 принципов организации безналичных расчетов: документальность, срочность, обеспеченность платежа, свобода выбора форм безналичных расчетов, унификация платежных документов</w:t>
      </w:r>
      <w:r w:rsidRPr="00970D45">
        <w:rPr>
          <w:rFonts w:ascii="Times New Roman" w:hAnsi="Times New Roman"/>
          <w:i/>
          <w:iCs/>
          <w:sz w:val="28"/>
          <w:szCs w:val="28"/>
        </w:rPr>
        <w:t>.</w:t>
      </w:r>
    </w:p>
    <w:p w:rsidR="000050B2" w:rsidRPr="00970D45" w:rsidRDefault="000050B2" w:rsidP="00970D45">
      <w:pPr>
        <w:spacing w:before="100" w:beforeAutospacing="1" w:after="100" w:afterAutospacing="1" w:line="360" w:lineRule="auto"/>
        <w:ind w:left="720" w:hanging="360"/>
        <w:jc w:val="both"/>
        <w:rPr>
          <w:rFonts w:ascii="Times New Roman" w:hAnsi="Times New Roman"/>
          <w:sz w:val="28"/>
          <w:szCs w:val="28"/>
        </w:rPr>
      </w:pPr>
      <w:r w:rsidRPr="00970D45">
        <w:rPr>
          <w:rFonts w:ascii="Times New Roman" w:hAnsi="Times New Roman"/>
          <w:sz w:val="28"/>
          <w:szCs w:val="28"/>
        </w:rPr>
        <w:t>5.     При наличных расчетах происходит передача денежных средств в форме банкнот и монет.</w:t>
      </w:r>
    </w:p>
    <w:p w:rsidR="000050B2" w:rsidRDefault="000050B2" w:rsidP="00970D45">
      <w:pPr>
        <w:spacing w:before="100" w:beforeAutospacing="1" w:after="100" w:afterAutospacing="1" w:line="360" w:lineRule="auto"/>
        <w:ind w:firstLine="720"/>
        <w:jc w:val="both"/>
        <w:rPr>
          <w:rFonts w:ascii="Times New Roman" w:hAnsi="Times New Roman"/>
          <w:sz w:val="28"/>
          <w:szCs w:val="28"/>
        </w:rPr>
      </w:pPr>
      <w:r w:rsidRPr="00970D45">
        <w:rPr>
          <w:rFonts w:ascii="Times New Roman" w:hAnsi="Times New Roman"/>
          <w:sz w:val="28"/>
          <w:szCs w:val="28"/>
        </w:rPr>
        <w:t>В настоящее время все больше операций совершается с помощью безналичного расчета, несмотря на то, что этот способ считается наиболее трудоемким.</w:t>
      </w:r>
    </w:p>
    <w:p w:rsidR="000050B2" w:rsidRDefault="000050B2" w:rsidP="00970D45">
      <w:pPr>
        <w:spacing w:before="100" w:beforeAutospacing="1" w:after="100" w:afterAutospacing="1" w:line="360" w:lineRule="auto"/>
        <w:ind w:firstLine="720"/>
        <w:jc w:val="both"/>
        <w:rPr>
          <w:rFonts w:ascii="Times New Roman" w:hAnsi="Times New Roman"/>
          <w:sz w:val="28"/>
          <w:szCs w:val="28"/>
        </w:rPr>
      </w:pPr>
    </w:p>
    <w:p w:rsidR="000050B2" w:rsidRPr="00970D45" w:rsidRDefault="000050B2" w:rsidP="00970D45">
      <w:pPr>
        <w:spacing w:before="100" w:beforeAutospacing="1" w:after="100" w:afterAutospacing="1" w:line="360" w:lineRule="auto"/>
        <w:ind w:firstLine="720"/>
        <w:jc w:val="both"/>
        <w:rPr>
          <w:rFonts w:ascii="Times New Roman" w:hAnsi="Times New Roman"/>
          <w:sz w:val="28"/>
          <w:szCs w:val="28"/>
        </w:rPr>
      </w:pPr>
    </w:p>
    <w:p w:rsidR="000050B2" w:rsidRPr="00970D45" w:rsidRDefault="000050B2" w:rsidP="00970D45">
      <w:pPr>
        <w:spacing w:before="100" w:beforeAutospacing="1" w:after="100" w:afterAutospacing="1" w:line="360" w:lineRule="auto"/>
        <w:jc w:val="center"/>
        <w:rPr>
          <w:rFonts w:ascii="Times New Roman" w:hAnsi="Times New Roman"/>
          <w:sz w:val="28"/>
          <w:szCs w:val="28"/>
        </w:rPr>
      </w:pPr>
      <w:r w:rsidRPr="00970D45">
        <w:rPr>
          <w:rFonts w:ascii="Times New Roman" w:hAnsi="Times New Roman"/>
          <w:b/>
          <w:bCs/>
          <w:sz w:val="28"/>
          <w:szCs w:val="28"/>
        </w:rPr>
        <w:t>Список литературы.</w:t>
      </w:r>
    </w:p>
    <w:p w:rsidR="000050B2" w:rsidRPr="00970D45" w:rsidRDefault="000050B2" w:rsidP="00970D45">
      <w:pPr>
        <w:shd w:val="clear" w:color="auto" w:fill="FFFFFF"/>
        <w:spacing w:before="194" w:after="0" w:line="360" w:lineRule="auto"/>
        <w:ind w:left="720" w:right="360" w:hanging="360"/>
        <w:rPr>
          <w:rFonts w:ascii="Times New Roman" w:hAnsi="Times New Roman"/>
          <w:sz w:val="28"/>
          <w:szCs w:val="28"/>
        </w:rPr>
      </w:pPr>
      <w:r w:rsidRPr="00970D45">
        <w:rPr>
          <w:rFonts w:ascii="Times New Roman" w:hAnsi="Times New Roman"/>
          <w:color w:val="000000"/>
          <w:spacing w:val="-11"/>
          <w:sz w:val="28"/>
          <w:szCs w:val="28"/>
        </w:rPr>
        <w:t>1.            Жуков Е.Ф. Деньги, кредит, банки – М.: Юнити, 2003</w:t>
      </w:r>
    </w:p>
    <w:p w:rsidR="000050B2" w:rsidRPr="00970D45" w:rsidRDefault="000050B2" w:rsidP="00970D45">
      <w:pPr>
        <w:shd w:val="clear" w:color="auto" w:fill="FFFFFF"/>
        <w:spacing w:before="194" w:after="0" w:line="360" w:lineRule="auto"/>
        <w:ind w:left="720" w:right="360" w:hanging="360"/>
        <w:rPr>
          <w:rFonts w:ascii="Times New Roman" w:hAnsi="Times New Roman"/>
          <w:sz w:val="28"/>
          <w:szCs w:val="28"/>
        </w:rPr>
      </w:pPr>
      <w:r w:rsidRPr="00970D45">
        <w:rPr>
          <w:rFonts w:ascii="Times New Roman" w:hAnsi="Times New Roman"/>
          <w:color w:val="000000"/>
          <w:spacing w:val="-11"/>
          <w:sz w:val="28"/>
          <w:szCs w:val="28"/>
        </w:rPr>
        <w:t>2.            Ковалев В.В., Ковалев Вит.В. Финансы организаций: учебник. – М.: ТК Велби, Изд-во Проспект, 2007</w:t>
      </w:r>
    </w:p>
    <w:p w:rsidR="000050B2" w:rsidRPr="00970D45" w:rsidRDefault="000050B2" w:rsidP="00970D45">
      <w:pPr>
        <w:shd w:val="clear" w:color="auto" w:fill="FFFFFF"/>
        <w:spacing w:before="194" w:after="0" w:line="360" w:lineRule="auto"/>
        <w:ind w:left="720" w:right="360" w:hanging="360"/>
        <w:rPr>
          <w:rFonts w:ascii="Times New Roman" w:hAnsi="Times New Roman"/>
          <w:sz w:val="28"/>
          <w:szCs w:val="28"/>
        </w:rPr>
      </w:pPr>
      <w:r w:rsidRPr="00970D45">
        <w:rPr>
          <w:rFonts w:ascii="Times New Roman" w:hAnsi="Times New Roman"/>
          <w:color w:val="000000"/>
          <w:spacing w:val="-11"/>
          <w:sz w:val="28"/>
          <w:szCs w:val="28"/>
        </w:rPr>
        <w:t>3.            .Лаврушин О.И. Банковское дело  – М.: 2004</w:t>
      </w:r>
    </w:p>
    <w:p w:rsidR="000050B2" w:rsidRPr="00970D45" w:rsidRDefault="000050B2" w:rsidP="00970D45">
      <w:pPr>
        <w:shd w:val="clear" w:color="auto" w:fill="FFFFFF"/>
        <w:spacing w:before="194" w:after="0" w:line="360" w:lineRule="auto"/>
        <w:ind w:left="720" w:right="360" w:hanging="360"/>
        <w:rPr>
          <w:rFonts w:ascii="Times New Roman" w:hAnsi="Times New Roman"/>
          <w:sz w:val="28"/>
          <w:szCs w:val="28"/>
        </w:rPr>
      </w:pPr>
      <w:r w:rsidRPr="00970D45">
        <w:rPr>
          <w:rFonts w:ascii="Times New Roman" w:hAnsi="Times New Roman"/>
          <w:color w:val="000000"/>
          <w:spacing w:val="-11"/>
          <w:sz w:val="28"/>
          <w:szCs w:val="28"/>
        </w:rPr>
        <w:t>4.            Лаврушин О.И. Деньги, кредит, банки .– М.: Финансы и кредит, 2000.</w:t>
      </w:r>
    </w:p>
    <w:p w:rsidR="000050B2" w:rsidRPr="00970D45" w:rsidRDefault="000050B2" w:rsidP="00970D45">
      <w:pPr>
        <w:shd w:val="clear" w:color="auto" w:fill="FFFFFF"/>
        <w:spacing w:before="194" w:after="0" w:line="360" w:lineRule="auto"/>
        <w:ind w:left="720" w:right="360" w:hanging="360"/>
        <w:rPr>
          <w:rFonts w:ascii="Times New Roman" w:hAnsi="Times New Roman"/>
          <w:sz w:val="28"/>
          <w:szCs w:val="28"/>
        </w:rPr>
      </w:pPr>
      <w:r w:rsidRPr="00970D45">
        <w:rPr>
          <w:rFonts w:ascii="Times New Roman" w:hAnsi="Times New Roman"/>
          <w:sz w:val="28"/>
          <w:szCs w:val="28"/>
        </w:rPr>
        <w:t xml:space="preserve">5.     </w:t>
      </w:r>
      <w:r w:rsidRPr="00970D45">
        <w:rPr>
          <w:rFonts w:ascii="Times New Roman" w:hAnsi="Times New Roman"/>
          <w:color w:val="000000"/>
          <w:spacing w:val="-11"/>
          <w:sz w:val="28"/>
          <w:szCs w:val="28"/>
        </w:rPr>
        <w:t>Поляк  Г. П. Финансы. Денежное обращение. Кредит. – М.: ЮНИТИ-ДАНА, 2007.</w:t>
      </w:r>
    </w:p>
    <w:p w:rsidR="000050B2" w:rsidRPr="00970D45" w:rsidRDefault="000050B2">
      <w:pPr>
        <w:rPr>
          <w:rFonts w:ascii="Times New Roman" w:hAnsi="Times New Roman"/>
          <w:sz w:val="28"/>
          <w:szCs w:val="28"/>
        </w:rPr>
      </w:pPr>
      <w:bookmarkStart w:id="0" w:name="_GoBack"/>
      <w:bookmarkEnd w:id="0"/>
    </w:p>
    <w:sectPr w:rsidR="000050B2" w:rsidRPr="00970D45" w:rsidSect="00510C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D45"/>
    <w:rsid w:val="000050B2"/>
    <w:rsid w:val="000A4601"/>
    <w:rsid w:val="002240DB"/>
    <w:rsid w:val="0029784E"/>
    <w:rsid w:val="0043459E"/>
    <w:rsid w:val="00510C13"/>
    <w:rsid w:val="005A7283"/>
    <w:rsid w:val="00970D45"/>
    <w:rsid w:val="00BE142F"/>
    <w:rsid w:val="00BE5A84"/>
    <w:rsid w:val="00D255A4"/>
    <w:rsid w:val="00D76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D757D9-015A-44D8-8222-091B84B6C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C13"/>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3687</Words>
  <Characters>21017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 </vt:lpstr>
    </vt:vector>
  </TitlesOfParts>
  <Company>Microsoft</Company>
  <LinksUpToDate>false</LinksUpToDate>
  <CharactersWithSpaces>24655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 </dc:title>
  <dc:subject/>
  <dc:creator>Яна</dc:creator>
  <cp:keywords/>
  <dc:description/>
  <cp:lastModifiedBy>Irina</cp:lastModifiedBy>
  <cp:revision>2</cp:revision>
  <dcterms:created xsi:type="dcterms:W3CDTF">2014-08-20T12:19:00Z</dcterms:created>
  <dcterms:modified xsi:type="dcterms:W3CDTF">2014-08-20T12:19:00Z</dcterms:modified>
</cp:coreProperties>
</file>