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C41D0" w:rsidRDefault="00AC41D0" w:rsidP="00CF7D15">
      <w:pPr>
        <w:pStyle w:val="a3"/>
        <w:jc w:val="center"/>
        <w:rPr>
          <w:b/>
          <w:bCs/>
        </w:rPr>
      </w:pPr>
    </w:p>
    <w:p w:rsidR="00CF7D15" w:rsidRDefault="00CF7D15" w:rsidP="00CF7D15">
      <w:pPr>
        <w:pStyle w:val="a3"/>
        <w:jc w:val="center"/>
      </w:pPr>
      <w:r>
        <w:rPr>
          <w:b/>
          <w:bCs/>
        </w:rPr>
        <w:t>Цены и кредитные отношения.</w:t>
      </w:r>
      <w:r>
        <w:t> </w:t>
      </w:r>
    </w:p>
    <w:p w:rsidR="00CF7D15" w:rsidRDefault="00CF7D15" w:rsidP="00CF7D15">
      <w:pPr>
        <w:pStyle w:val="a3"/>
      </w:pPr>
      <w:r>
        <w:t>       Рассматривая вопрос о взаимосвязи цен и кредитных отношений необходимо отметить то, что ценообразование оказывает влияние на стабильность денежного обращения, устойчивость и укрепление денежной единицы страны.</w:t>
      </w:r>
      <w:r>
        <w:br/>
        <w:t>       В своей учетной функции цена призвана как можно точнее отражать уровень общественно-необходимых затрат труда. Чем точнее и объективнее будет обеспечен такой учет в ценах, тем эквивалентнее будет осуществлен процесс обмена натуральной и денежно-стоимостной массы товаров. Значительный отрыв цен от уровня общественно-необходимых затрат нарушает эквивалентность обмена и тем самым дестабилизирует денежное обращение и денежную единицу, внося неоправданные корректировки в эмиссионные процессы. С помощью ценообразования сглаживают и негативные тенденции, возникающие в результате миграции денег: оттока их из одних регионов страны и чрезмерной аккумуляции в других</w:t>
      </w:r>
      <w:r>
        <w:br/>
        <w:t>       Изменение цен также оказывает воздействие на ресурсы и границы кредита в части увеличения (снижения) первых или расширения (сужения )вторых. Рост цен способствует увеличению ресурсов кредитования, а их снижение - уменьшению. Использование кредитов, источниками которых являются временно свободные средства, имеет целый ряд отрицательных моментов, поскольку они не всегда обеспечены товарно-материальными ценностями.</w:t>
      </w:r>
      <w:r>
        <w:br/>
        <w:t>       Вместе с тем объем предоставляемого кредита влияет на обеспечение оборота платежными средствами. Чрезмерное ограничение размера предоставляемого кредита может привести к трудностям в приобретении материальных ценностей, к снижению платежеспособного спроса и соответственно отражается на сдерживании роста цен. Это происходит потому, что при определенном уровне предложения товаров и сравнительно меньшем уровне платежеспособного спроса на них возможности повышения цен ограничиваются. Однако такие меры могут повлиять на ухудшение обеспечения предприятий и организаций платежными средствами и воспрепятствовать возможному росту объема их производства и реализации.</w:t>
      </w:r>
      <w:r>
        <w:br/>
        <w:t>       Аналогичное влияние могут оказывать ограничения в применении кредита, когда в распоряжении предприятия-покупателя окажется меньше товарно-материальных ценностей, чем это необходимо для производственной деятельности. Напротив, чрезмерное расширение предоставления кредита может способствовать увеличению массы платежных средств в обороте, повысить спрос и в конечном счете повлиять на рост цен.</w:t>
      </w:r>
      <w:r>
        <w:br/>
        <w:t>       Кредитные учреждения тщательно учитывают ценовой фактор при проверке обеспеченности кредита, игнорирование которого может привести к серьезному искажению стоимостной оценки товарно-материальных ценностей, под которые предоставляется кредит. Если кредит был выдан до момента повышения цен, а при проверке его обеспеченности заемщики предоставляют в банк данные, оценивая товарно-материальные средства по новым повышенным ценам, то это может привести к необоснованному завышению обеспеченности кредитных ресурсов. Недоучет ценового фактора на практике приводит к неточным оценкам эффективности использования кредита.</w:t>
      </w:r>
      <w:r>
        <w:br/>
        <w:t>       Ссудный процент представляет собой своеобразную цену ссуженой во временное пользование стоимости. Он возникает там, где отдельный собственник передает другому определенную стоимость во временное пользование с целью ее производительного потребления. Эта стоимость обладает чертами товара. Ее потребительская стоимость состоит в производстве прибыли, которая, с одной стороны, составляет доход производителя; с другой - кредитора (в форме процента).</w:t>
      </w:r>
      <w:r>
        <w:br/>
        <w:t>       При сложившемся уровне дохода на инвестиции норма процента на денежном рынке формируется соотношением спроса и предложения денежных средств. Одновременно при неизменной норме процента уровень дохода в производственном секторе определяется объемом сбережений и инвестиций. Денежная сфера и производственный сектор тесно взаимосвязаны. Изменения в соотношении спроса и предложения денежных средств ведет к колебанию процента, который в свою очередь действует на формирование спроса на инвестиции и в конечном счете - на уровень дохода. Увеличение или уменьшение доходности осуществляемых вложений, напротив, определяет размер денежного спроса и, следовательно, уровень ссудного процента.</w:t>
      </w:r>
      <w:r>
        <w:br/>
        <w:t>       Кроме того уровень ссудного процента в условиях свободных рыночных отношений складывается не только на основе соотношения спроса и предложения денежных средств, но и является результатом сложного взаимодействия ряда факторов не только финансовой сферы, но и производственной. К их числу относится цикличность производства, достигнутый в стране уровень накопления денежного капитала и сбережений, общий уровень развития денежных рынков и рынков ценных бумаг, состояние национальных валют и т.д.</w:t>
      </w:r>
      <w:r>
        <w:br/>
        <w:t>       Большое значение для участников кредитных отношений имеет также сочетание двух начал формирования процентных ставок: рыночных сил и государственного регулирования, которое проводится с целью:</w:t>
      </w:r>
      <w:r>
        <w:br/>
        <w:t>       ·поддержания развития отдельных отраслей экономики;</w:t>
      </w:r>
      <w:r>
        <w:br/>
        <w:t>       ·проведения антиинфляционной политики;</w:t>
      </w:r>
      <w:r>
        <w:br/>
        <w:t>       ·создание единообразных условий функционирования для элементов кредитной системы.</w:t>
      </w:r>
      <w:r>
        <w:br/>
        <w:t>       В последние годы во многих странах процесс «дерегулирования» затронул и сферу процентных ставок, когда политика государственного регулирования, широко используемая в предыдущие годы, постепенно потеряла свое значение. Все большую роль в формировании цены кредита принимают рыночные силы.</w:t>
      </w:r>
      <w:r>
        <w:br/>
        <w:t>       На макроуровне рыночная норма процента испытывает непосредственное влияние инфляционных процессов при этом рыночная ставка процента определяется как:</w:t>
      </w:r>
      <w:r>
        <w:br/>
        <w:t>       ,</w:t>
      </w:r>
      <w:r>
        <w:br/>
        <w:t>       где r - реальная норма процента; e - темп инфляции.</w:t>
      </w:r>
      <w:r>
        <w:br/>
        <w:t>       Уровень реального процента определится как:</w:t>
      </w:r>
      <w:r>
        <w:br/>
        <w:t>       .</w:t>
      </w:r>
      <w:r>
        <w:br/>
        <w:t>       В условиях развития рыночных начал в экономике России в сфере кредитных отношений уровень ссудного процента стремится к средней норме прибыли в хозяйстве. При условии свободного перелива капитала последний будет устремляться в ту отрасль, ту сферу приложения средств, которая обеспечит получение наибольшей прибыли. Если уровень доходов в производственном секторе экономики будет выше ссудного процента, то произойдет перемещение средств из денежной сферы в производственную и наоборот.</w:t>
      </w:r>
      <w:r>
        <w:br/>
        <w:t>       Примером такого влияния в 1993-</w:t>
      </w:r>
      <w:smartTag w:uri="urn:schemas-microsoft-com:office:smarttags" w:element="metricconverter">
        <w:smartTagPr>
          <w:attr w:name="ProductID" w:val="96 г"/>
        </w:smartTagPr>
        <w:r>
          <w:t>96 г</w:t>
        </w:r>
      </w:smartTag>
      <w:r>
        <w:t>.г. стало воздействие доходности рынка государственных ценных бумаг на отток банковских средств из сферы краткосрочного кредитования в сферу операций с государственными краткосрочными бескупонными облигациями.</w:t>
      </w:r>
      <w:r>
        <w:br/>
        <w:t>       Банковский процент - одна из наиболее развитых в России форм ссудного процента. Он возникает в том случае, когда одним из субъектов кредитных отношений выступает банк.</w:t>
      </w:r>
      <w:r>
        <w:br/>
        <w:t>       Верхняя граница процента за кредит определяется рыночными условиями. Нижний предел складывается с учетом затрат банка по привлечению средств и обеспечению функционирования кредитного учреждения. При расчете нормы процента в каждой конкретной сделке коммерческий банк учитывает:</w:t>
      </w:r>
      <w:r>
        <w:br/>
        <w:t>       ·уровень базовой процентной ставки;</w:t>
      </w:r>
    </w:p>
    <w:p w:rsidR="00CF7D15" w:rsidRDefault="00CF7D15">
      <w:r>
        <w:t>  ·надбавку за риск с учетом условий кредитного договора.</w:t>
      </w:r>
      <w:r>
        <w:br/>
        <w:t>       Базовая процентная ставка определяется исходя из ориентировочной себестоимости кредитных вложений и заложенного уровня прибыльности ссудных операций банка на предстоящий период:</w:t>
      </w:r>
      <w:r>
        <w:br/>
        <w:t>       ,</w:t>
      </w:r>
      <w:r>
        <w:br/>
        <w:t>       где- средняя реальная цена всех кредитных ресурсов на планируемый период;</w:t>
      </w:r>
      <w:r>
        <w:br/>
        <w:t>       - отношение планируемых расходов по обеспечению функционирования банка к ожидаемому объему продуктивно размещенных средств;</w:t>
      </w:r>
      <w:r>
        <w:br/>
        <w:t>       - планируемый уровень прибыльности ссудных операций банка с минимальным риском.</w:t>
      </w:r>
      <w:r>
        <w:br/>
        <w:t>       Средняя реальная цена кредитных ресурсов () определяется по формуле средневзвешенной величины исходя из цены отдельного вида ресурса и его удельного веса в общей сумме мобилизуемых банком средств.</w:t>
      </w:r>
      <w:r>
        <w:br/>
        <w:t>       Средняя реальная цена отдельных видов ресурсов определяется на основе рыночной номинальной цены указанных ресурсов и корректировки на норму обязательного резерва, депонируемого в ЦБ РФ:</w:t>
      </w:r>
      <w:r>
        <w:br/>
        <w:t>       ,</w:t>
      </w:r>
      <w:r>
        <w:br/>
        <w:t>       где- средняя реальная цена привлекаемых банком срочных депозитов;</w:t>
      </w:r>
      <w:r>
        <w:br/>
        <w:t>       - средний рыночный уровень депозитного процента;</w:t>
      </w:r>
      <w:r>
        <w:br/>
        <w:t>       - норма обязательного резерва.</w:t>
      </w:r>
      <w:r>
        <w:br/>
        <w:t>       Аналогично определяется средняя реальная цена по другим источникам средств, по которым предусмотрено отчисление средств в фонд обязательных резервов.</w:t>
      </w:r>
      <w:r>
        <w:br/>
        <w:t>       Надбавка за риск дифференцируется в зависимости от следующих критериев:</w:t>
      </w:r>
      <w:r>
        <w:br/>
        <w:t>       ·кредитоспособности заемщика;</w:t>
      </w:r>
      <w:r>
        <w:br/>
        <w:t>       ·наличия обеспечения по ссуде;</w:t>
      </w:r>
      <w:r>
        <w:br/>
        <w:t>       ·срока кредита;</w:t>
      </w:r>
      <w:r>
        <w:br/>
        <w:t>       ·прочности взаимоотношений банка и клиента.</w:t>
      </w:r>
      <w:bookmarkStart w:id="0" w:name="_GoBack"/>
      <w:bookmarkEnd w:id="0"/>
    </w:p>
    <w:sectPr w:rsidR="00CF7D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oNotTrackMoves/>
  <w:doNotTrackFormatting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F7D15"/>
    <w:rsid w:val="001A69EF"/>
    <w:rsid w:val="00542A51"/>
    <w:rsid w:val="00AC41D0"/>
    <w:rsid w:val="00CF7D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78BF0D6-15DA-410F-9646-8BF1806D04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CF7D15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023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1255</Words>
  <Characters>7160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Цены и кредитные отношения</vt:lpstr>
    </vt:vector>
  </TitlesOfParts>
  <Company>NhT</Company>
  <LinksUpToDate>false</LinksUpToDate>
  <CharactersWithSpaces>8399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Цены и кредитные отношения</dc:title>
  <dc:subject/>
  <dc:creator>Серёга</dc:creator>
  <cp:keywords/>
  <cp:lastModifiedBy>Irina</cp:lastModifiedBy>
  <cp:revision>2</cp:revision>
  <dcterms:created xsi:type="dcterms:W3CDTF">2014-08-19T20:39:00Z</dcterms:created>
  <dcterms:modified xsi:type="dcterms:W3CDTF">2014-08-19T20:39:00Z</dcterms:modified>
</cp:coreProperties>
</file>