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77B" w:rsidRDefault="00BB777B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Гражданским кодексом КР установлены следующие формы безналичных расчетов: платежные поручения, чеки, аккредитивы, расчеты по инкассо, а также расчетов иных формах, предусмотренных законом, установленными в соответствии с ним банковскими правилами и применяемыми в банковской практике (ст. 777 ГК КР «Формы безналичных расчетов»). Безналичные расчеты производятся через кредитные организации, которые имеют соответствующие лицензии и открывают банковские счета.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2007E">
        <w:rPr>
          <w:rFonts w:ascii="Times New Roman" w:hAnsi="Times New Roman"/>
          <w:b/>
          <w:sz w:val="28"/>
          <w:szCs w:val="28"/>
          <w:lang w:val="ru-RU"/>
        </w:rPr>
        <w:t xml:space="preserve">          1. Платежные поручения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Платежное поручение представляет собой документ определенной формы, передаваемый клиентом в банк как поручение перечислить опре</w:t>
      </w:r>
      <w:r w:rsidRPr="0042007E">
        <w:rPr>
          <w:rFonts w:ascii="Times New Roman" w:hAnsi="Times New Roman"/>
          <w:sz w:val="28"/>
          <w:szCs w:val="28"/>
        </w:rPr>
        <w:t>деленную сумму на счет указанного лица в срок, предусмотренный законом, договором банковского счета или применяемыми в банковской практике обычаями делового оборота. Содержание платежного поручения и предъявляемых вместе с ним расчетных документов и их форма должны соответствовать требованиям, предусмотренным законом и установленными в соответствии с ним банковскими правилами.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несоответствии платежного поручения указанным требованиям банк может уточнить его содержание. Такой запрос должен быть сделан плательщик у незамедлительно по получении поручения. При неполучении ответа в срок, предусмотренный законом или установленный банковскими правилами, банк имеет право не исполнять поручение или возвратить его плательщику (ст. 779 ГК КР «Условия принятия банком платежного поручения»).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Банк принимает платежные поручение при наличии средств на счете плательщика, снимает деньги со счета и отправляет вместе с платежными поручениями в расчетно-кассовый центр (РКЦ). РКЦ снимает с корреспондентского счета банка деньги и переводит на корреспондентский счет банка, где обслуживается клиент в срок, предусмотренный законом или установленный в соответствии с ним. Деньги, поступившие на корреспондентский счет банка, зачисляются на счет получателя.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Банк вправе привлекать другие банки для выполнения операций по перечислению денежных средств на счет, указанный в поручении клиента ст. 780 ГК КР «Исполнение поручения».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Платежные поручения заполняются в четырех экземплярах. На первом ставятся подписи и печать клиента-плательщика (он хранится в документах операционного дня банка-плательщика). Второй и третий экземпляры отправляются в банк-получатель, четвертый возвращается плательщику с банковской отметкой и выпиской со счета, подтверждающей списание денег.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поступлении денег банк-получатель выдает своему клиенту выписку, подтверждающую получение денег, и платежное поручение отправителя (третий экземпляр). Банк-получатель оставляет у себя второй экземпляр и хранит его в документах операционного дня. Платежное поручение принимается к исполнению в течение 10 дней со дня оформления. По требованию плательщика банк обязан незамедлительно информировать его об исполнении поручения.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Банк может принять платежное поручение при отсутствии наличных средств на счете плательщика, если это оговорено предварительно или в договоре за дополнительное вознаграждение (ст. 776 ГК КР «Кредитование счета»), поручение через электронную почту. Однако в последнее время банки опасаются такого рода услуг, так как отмечены случаи мошенничества — незаконного списания и отправки денег. За ненадлежащее исполнение поручения клиента банк несет ответственность по общим правилам, установленным в ст. 781 ГККР «Ответственность за неисполнение или ненадлежащее исполнение поручения». Если нарушение банком правил совершения расчетных операций повлекло неправомерное удержание денежных средств, он обязан уплатить проценты в порядке и размере, предусмотренных ст. 360 ГК КР «Ответственность за неисполнение денежного обязательства».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2007E">
        <w:rPr>
          <w:rFonts w:ascii="Times New Roman" w:hAnsi="Times New Roman"/>
          <w:b/>
          <w:sz w:val="28"/>
          <w:szCs w:val="28"/>
        </w:rPr>
        <w:t>2.</w:t>
      </w:r>
      <w:r w:rsidRPr="0042007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2007E">
        <w:rPr>
          <w:rFonts w:ascii="Times New Roman" w:hAnsi="Times New Roman"/>
          <w:b/>
          <w:sz w:val="28"/>
          <w:szCs w:val="28"/>
        </w:rPr>
        <w:t xml:space="preserve"> Чековая форма расчетов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 — один из видов ценных бумаг, который может быть использован для получения денег (ст. 792 ГК КР «Общие положения»). По нему можно получить наличные деньги и осуществить безналичные расчеты. Участники чековой формы расчетов — чекодатель (владелец счета), плательщик (банк), чекодержатель (получатель).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Содержанием чека является письменное поручение банку уплатить соответствующую сумму чекодержателю.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 должен иметь ряд обязательных реквизитов (ст. 793 ГК КР «Реквизиты чека»): наименование «чек», включенное в текст документа; поручение плательщику выплатить конкретную денежную сумму; наименование плательщика с указанием счета; указание валюты платежа; указание даты и места составления чека; подпись Чекодателя.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 xml:space="preserve"> Отсутствие в документе любого из указанных реквизитов лишает его силы чека.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 подлежит оплате плательщиком при условии предъявления его к оплате в срок, установленный законом (ст. 794 ГК КР «Оплата чека»). Убытки, возникшие вследствие оплаты плательщиком подложного, похищенного или утраченного чека, возлагаются на плательщика или чекодателя в зависимости от того, по чьей вине они были причинены.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Представлением чека в банк, обслуживающий чекодержателя, на инкассо для получения платежа считается предъявление его к платежу. Зачисление средств по инкассированному чеку на счет чекодержателя производится после получения платежа от плательщика, если иное не предусмотрено договором между чекодержателем и банком (ст. 797 ГК КР «Инкассирование чека»).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Отказ от оплаты чека в установленной законом форме должен быть совершен до истечения срока его предъявления. Чекодержатель в этом случае в течение шести месяцев вправе по своему выбору предъявить иск к одному или нескольким обязанным по чеку лицам, которые несут перед ним солидарную ответственность.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Банк-чекодатель выдает клиенту бланки денежных чеков для выдачи наличных средств. Только клиент-чекодержатель имеет право выписать чек и получить деньги от банка-чекодателя. После предъявления чека чекодержателем банк-чекодатель обязан выплатить указанную в чеке сумму, которую тот должен иметь на своем счете. В случае отсутствия денег на счете чекодержателя чекодатель может оплатить чек, если это оговорено предварительно или в договоре за дополнительное вознаграждение. Если у банка-чекодател яотсутствуют наличные средства, то он берет их с корреспондентского счета РКЦ или других счетов кредитных учреждений. Чек заверяется подписями и печатью чекодержателя и действителен в течение десяти дней.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Расчеты чеками между физическими лицами запрещены.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Бланки чеков имеют единый вид, обязательный для всех кредитных организаций и предприятий всех форм собственности.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Изначально это был чисто американский продукт, но в настоящее время подобный инструмент платежа широко применяется во всем мире. Клиент закупает дорожные чеки и подписывает их в присутствии операциониста банка. Стоимость чека, как правило, списывается с текущего счета клиента. Находясь за рубежом, обладатель чека может обналичить его в любом банке, в отеле или крупном магазине. Для этого он должен вторично поставить свою подпись на чеке в присутствии должностного лица, удостоверяющего идентичность обеих подписей владельца чека. В дополнение к этому для подтверждения личности клиента он должен предъявить удостоверение личности, например паспорт.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Еврочековую книжку можно приобрести в любом отделении банка. Они являются довольно дорогостоящими, но продаются вместе с еврочековой карточкой, не имеющей лимита в 50 ф. ст. Чек выписывается в местной валюте, на него распространяется гарантия еврочековой карточки (аналогично другим чековым карточкам), в результате операций сумма списывается в фунтах стерлингов с текущего счета клиента в Великобритании.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 — это письменная инструкция банку, приказывающая выплатить кому-либо указанную сумму. У чека есть ряд недостатков: на счете, выдавшего чек, может не сказаться нужной суммы и чек будет возвращен неоплаченным; у данного лица может вообще не быть счета, или чек может быть неправильно заполнен или подпись не совпадать, тогда банк возвращает чек с соответствующими отметками.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Чеки удобны для путешествий, они не привлекательны для воров. Во все времена все воры предпочитают наличные.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Чеки удобны для оплаты покупок, расставленных после оплаты их охотно берут в магазинах, когда владелец магазина знает адрес покупателя, а также, если клиент плательщик и получатель оплаты связаны долгосрочным отношением.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Порядок и условия использования чеков в платежном обороте регулируются ГККР, а в части, им не урегулированной, другими законами и устанавливаемыми в соответствии с ними банковскими правилами.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2007E">
        <w:rPr>
          <w:rFonts w:ascii="Times New Roman" w:hAnsi="Times New Roman"/>
          <w:b/>
          <w:sz w:val="28"/>
          <w:szCs w:val="28"/>
        </w:rPr>
        <w:t>3</w:t>
      </w:r>
      <w:r w:rsidRPr="0042007E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42007E">
        <w:rPr>
          <w:rFonts w:ascii="Times New Roman" w:hAnsi="Times New Roman"/>
          <w:b/>
          <w:sz w:val="28"/>
          <w:szCs w:val="28"/>
        </w:rPr>
        <w:t xml:space="preserve"> Расчеты по аккредитиву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Сегодня нельзя представить финансовую кредитную систему без аккредитивов, которые выступают в качестве механизма кредитования и средства платежей.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расчетах по аккредитиву (ст. 778 ГК КР «Общие положения») плательщик дает поручение банку (эмитенту) либо открыть аккредитив и произвести платежи получателю, либо передать эти полномочия другому банку(исполняющему).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Существуют два вида аккредитивов: безотзывный и отзывный. При расчетах могут быть использованы покрытые (депонированные) или непокрытые (гарантированные) аккредитивы.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Отзывной аккредитив (ст. 783 ГК КР «Отзывной аккредитив») может быть изменен или аннулирован банком плательщика без согласования с получателем средств; однако если платежи произведены, то вопрос об отзыве или изменении аккредитива рассматривать нельзя.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Необходимо отметить, что такую форму аккредитива можно применять с партнерами тогда, когда между ними существует определенная форма доверия. В остальных случаях следует использовать безотзывный и желательно подтвержденный аккредитив.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Безотзывный аккредитив не может быть изменен и аннулирован без согласия получателя средств (ст. 784 ГК КР «Безотзывный аккредитив»). Безотзывный аккредитив является твердым обязательством банка-эмитента.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использовании покрытого (депонированного) аккредитива банк-эмитент заблаговременно перечисляет сумму аккредитива в распоряжение исполняющего банка на весь срок действия обязательства банка-эмитента. Эта форма дает уверенность в исполнении взаимных обязательств, устраняет риск неплатежей, но она связана с отвлечением денежных средств плательщика на сверхнормативное время.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Непокрытый (гарантированный) аккредитив можно использовать при наличии корреспондентских отношений между банком-эмитентом и исполняющим банком. Он открывается в исполняющем банке, что дает последнему право списывать всю сумму аккредитива с ведущегося у него счета банка-эмитента.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Для исполнения аккредитива получатель средств представляет в исполняющий банк документы, подтверждающие выполнение всех условий аккредитива. При нарушении хотя бы одного из этих условий исполнение аккредитива не производится (ст. 785 ГК КР «Исполнение аккредитива»).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Закрытие аккредитива в исполняющем банке производится: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- по истечении срока аккредитива;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- по заявлению получателя средств об отказе от использования аккредитива до истечения срока его действия, если возможность такого отказа предусмотрена условиями аккредитива;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- по требованию плательщика о полном или частичном отзыве аккредитива, если такой отзыв возможен по условиям аккредитива.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О закрытии аккредитива исполняющий банк должен поставить в известность банк-эмитент (ст. 788 ГК КР «Закрытие аккредитива»).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Стороны по договору вправе избрать и установить в договоре любую из форм расчетов. Порядок осуществления расчетов в той или иной форме регулируется законом, а также изданными в соответствии с ним банковскими правилами и применяемыми в банковской практике обычаями делового оборота. Однако имеют место случаи представления фиктивных документов при открытии аккредитива, использования подставных- фирм для списания и обналичивания средств.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2007E">
        <w:rPr>
          <w:rFonts w:ascii="Times New Roman" w:hAnsi="Times New Roman"/>
          <w:b/>
          <w:sz w:val="28"/>
          <w:szCs w:val="28"/>
        </w:rPr>
        <w:t>4</w:t>
      </w:r>
      <w:r w:rsidRPr="0042007E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42007E">
        <w:rPr>
          <w:rFonts w:ascii="Times New Roman" w:hAnsi="Times New Roman"/>
          <w:b/>
          <w:sz w:val="28"/>
          <w:szCs w:val="28"/>
        </w:rPr>
        <w:t xml:space="preserve"> Расчеты по инкассо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расчетах по инкассо банк (банк-эмитент) обязуется по поручению клиента осуществлять за счет клиента действия по поручению от плательщика и (или) акцепта платежа. При этом банк-эмитент вправе привлекать для выполнения поручения клиента иной (исполняющий) банк (ст. 789 ГК КР «Общие положения»). В случае нарушения правил расчетных операций исполняющим банком ответственность перед клиентом может быть возложена на него.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исполнении инкассового поручения банк обязан информировать лицо, от которого оно было получено, об отсутствии какого-либо документа или несоответствия его инкассовому поручению. В случае не устранения указанных недостатков банк вправе возвратить документы без исполнения.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Документы плательщику должны быть предоставлены в той форме, в какой они были получены. Исключение составляют лишь отметки и надписи банков, которые были сделаны в связи с оформлением инкассовой операции (ст. 790 ГК КР «Исполнение инкассового поручения»).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том случае, если документы следует оплатить сразу по их предъявлении, исполняющий банк должен сделать представление к платежу немедленно по получении инкассового поручения. Если же они подлежат оплате в другой срок, то исполняющий банк, получив инкассовое поручение, должен немедленно представить документы к акцепту для получения акцепта плательщика. Требование же платежа должно быть сделано не позднее того срока, который указан в документе.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соответствии с банковскими правилами могут быть приняты и частичные платежи. Если же в банковских правилах это не оговорено, частичные платежи могут быть приняты только при наличии специального разрешения в инкассовом поручении. Полученные (инкассированные) суммы должны быть немедленно переданы исполняющим банком банку-эмитенту, который обязан зачислить их на счет клиента.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При неполучении платежа исполняющий банк обязан известить немедленно о причинах неплатежа банк-эмитент, который тотчас же информирует клиента, запрашивая у него указания относительно дальнейших действий (ст. 791 ГК КР «Извещение об отказе от платежа»).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Но бывает так, что исполняющий банк или предприятие получают фиктивные инкассовые поручения, например, на оплату телефонных услуг, которыми они не пользовались. Тогда инкассовые поручения необходимо перепроверить, и ни в коем случае не оплачивать, не получив соответствующего подтверждения.</w:t>
      </w:r>
    </w:p>
    <w:p w:rsid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2007E">
        <w:rPr>
          <w:rFonts w:ascii="Times New Roman" w:hAnsi="Times New Roman"/>
          <w:b/>
          <w:sz w:val="28"/>
          <w:szCs w:val="28"/>
          <w:lang w:val="ru-RU"/>
        </w:rPr>
        <w:t>5.  Электронные банковские услуги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Банковская пластиковая карточка — это обобщающий термин, обозначающий все виды карточек, служащих в целом в качестве безналичны</w:t>
      </w:r>
      <w:r w:rsidRPr="0042007E">
        <w:rPr>
          <w:rFonts w:ascii="Times New Roman" w:hAnsi="Times New Roman"/>
          <w:sz w:val="28"/>
          <w:szCs w:val="28"/>
        </w:rPr>
        <w:t>х расчетов и средства получения кредита, но различающихся по назначению, по набору оказываемых сих помощью услуг, по техническим возможностям и организациям их выпускающим.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сфере денежного обращения банковские пластиковые карточки являются одним из прогрессивных средств организации безналичных расчетов, в которой они представляют собой особый инструмент платежа, обладающий дебетовыми и кредитными возможностями.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 xml:space="preserve">Первые пластиковые карты, ставшие полноценным средством платежа, были выпущены компаниями </w:t>
      </w:r>
      <w:r w:rsidRPr="0042007E">
        <w:rPr>
          <w:rFonts w:ascii="Times New Roman" w:hAnsi="Times New Roman"/>
          <w:sz w:val="28"/>
          <w:szCs w:val="28"/>
        </w:rPr>
        <w:t>Diners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2007E">
        <w:rPr>
          <w:rFonts w:ascii="Times New Roman" w:hAnsi="Times New Roman"/>
          <w:sz w:val="28"/>
          <w:szCs w:val="28"/>
        </w:rPr>
        <w:t>Club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 (1950 г.), </w:t>
      </w:r>
      <w:r w:rsidRPr="0042007E">
        <w:rPr>
          <w:rFonts w:ascii="Times New Roman" w:hAnsi="Times New Roman"/>
          <w:sz w:val="28"/>
          <w:szCs w:val="28"/>
        </w:rPr>
        <w:t>American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2007E">
        <w:rPr>
          <w:rFonts w:ascii="Times New Roman" w:hAnsi="Times New Roman"/>
          <w:sz w:val="28"/>
          <w:szCs w:val="28"/>
        </w:rPr>
        <w:t>Express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42007E">
        <w:rPr>
          <w:rFonts w:ascii="Times New Roman" w:hAnsi="Times New Roman"/>
          <w:sz w:val="28"/>
          <w:szCs w:val="28"/>
        </w:rPr>
        <w:t>Hilton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2007E">
        <w:rPr>
          <w:rFonts w:ascii="Times New Roman" w:hAnsi="Times New Roman"/>
          <w:sz w:val="28"/>
          <w:szCs w:val="28"/>
        </w:rPr>
        <w:t>Credit</w:t>
      </w:r>
      <w:r w:rsidRPr="0042007E">
        <w:rPr>
          <w:rFonts w:ascii="Times New Roman" w:hAnsi="Times New Roman"/>
          <w:sz w:val="28"/>
          <w:szCs w:val="28"/>
          <w:lang w:val="ru-RU"/>
        </w:rPr>
        <w:t xml:space="preserve">(1959 г.). </w:t>
      </w:r>
      <w:r w:rsidRPr="0042007E">
        <w:rPr>
          <w:rFonts w:ascii="Times New Roman" w:hAnsi="Times New Roman"/>
          <w:sz w:val="28"/>
          <w:szCs w:val="28"/>
        </w:rPr>
        <w:t>А первая банковская карта была выпущена небольшим Нью-йоркским банком Long Island в 1951 г.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настоящее время системы карточных расчетов получили распространение во многих странах мира, а расчеты с их помощью приобрели характер международных.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России банковские пластиковые карточки, эмитированные зарубежными компаниями, появились в 1969 г. Первым эмитентом международных карт в СССР стал Внешэкономбанк, выпустивший в 1989 г. «золотые» карты EuroCard для очень узкого круга лиц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На сегодняшний день в России собственные карточки выпускают несколько сот банков, причем свыше 100 из них — с логотипом крупнейших международных карточных ассоциаций. Выпуск банковских карточек дает возможность интегрироваться в мировую систему банковских услуг, поднять деловой имидж банка, завоевать рынок, привлечь клиентуру. Участие в международной платежной системе с помощью карт позволяет овладеть новейшими банковскими технологиями, использовать мировую инфраструктуру для осуществления расчетов в глобальных масштабах.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Сейчас например в России созданы и действуют межбанковские платежные системы, основанные на банковских картах. Это — STB Card, Union Card и т.д.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Классификация пластиковых карточек возможна по многим признакам: по материалу изготовления, способу механизма расчетов, виду расчетов, характеру использования, по способу записи информации, сфере использования, территориальной принадлежности, времени применения и т.д.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материалу изготовления карточки бывают бумажные (картонные), пластиковые, металлические. В настоящее время наибольшее распространение получили пластиковые карточки.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способу механизма расчетов карточки делятся на двусторонние и многосторонние.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Двусторонние — владельцы могут использовать для покупки товаров в замкнутых сетях, контролируемых эмитентами карт; многосторонние позволяют своим владельцам покупать товар у различных торговцев и организаций сервиса, признающих эти карты средством платежа.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функциональным характеристикам, или по виду расчетов, карточки делятся на: кредитные — связанные с открытием кредитной линией в банке и позволяющие владельцу пользоваться кредитом при покупке товаров и получении кассовых ссуд, и дебетовые — предназначенные для получения наличных денег в банковских автоматах или покупки товаров с расчетом через электронные терминалы, но не позволяющие оплачивать покупки при отсутствии денег на счете в банке.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Как разновидность платежных карт в особую категорию выделяют платежные карты (charge card). При использовании такой карты общая сумма долга должна полностью погашаться в течение определенного времени после получения выписки без права продления кредита.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характеру использования карты бывают: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индивидуальные («стандартные» или «золотые», предусматривающие множество льгот для пользователей, выдаются лицам с высокой кредитоспособностью) —рассчитанные на отдельных клиентов банка;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семейные — выдаются членам семей лиц, заключивших контракт;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корпоративные — выдаются организациям (фирмам), которые на основе этих карт могут выдать индивидуальные карты некоторым своим членам.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Кроме того, к этому виду карт относят карточки туризма и развлечений (travel and entertainment cards, сокращенно — ТЕ cards), которые выпускаются компаниями, специализирующимися на обслуживании данной фирмы, в частности American Express Diners Club. Карточки принимаются сотнями тысяч торговых и сервисных товаров и услуг, они также предоставляют владельцам различные льготы по бронированию авиабилетов, номеров в гостиницах, страхованию жизни, скидки с цены товара и т.д.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Главные отличия этого вида карт от банковских заключается во-первых, в отсутствии разового лимита на покупки и, во-вторых, в обязанности владельца карты погасить задолженность в течение месяца без права пролонгировать кредит. В случае просрочки платежа с владельцев карты взимается повышенный процент.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Чековые гарантийные карты (cheque quarante card) выдаются владельцам текущего счета в банке для идентификации чекодателя и гарантии платежа по чеку. Карточка базируется на кредитной линии, позволяющей владельцу счета пользоваться кредитом по овердрафту (возникновение дебетового сальдо при оплате чека на текущем счете клиента банка).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способу записи информации на карту различают: графическую запись, эмбоссирование (нанесение данных в виде рельефных знаков), штрих-кодирование, кодирование на магнитной полосе, карты со встроенной микросхемой (сhip card — чиповая карта, smart card — смарт-карта, «умная» карточка), карты оптической памяти (лазерная запись).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принадлежности к учреждению эмитенту бывают: банковские карты (эмитент — банк или консорциум банков); коммерческие карты (эмитент — коммерческие фирмы или их группа — нефинансовые учреждения), карты, выпущенные организациями, специализирующимися на эмиссии пластиковых карт и создании инфраструктуры по их обслуживанию.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сфере использования карты бывают универсальные, т.е. служащие для оплаты любых товаров и услуг, и частные коммерческие — рассчитанные на оплату какой-либо определенной услуги (в частности, карты супермаркетов, гостиничных сетей и т.д.).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территориальной принадлежности карты делятся на международные, национальные (действующие в одном государстве), локальные (используемые на части территории государства) и карты, применяемые в одном конкретном учреждении.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По времени использования карты бывают ограниченные каким-либо временным промежутком (иногда с правом пролонгации) и неограниченные (бессрочные).</w:t>
      </w:r>
    </w:p>
    <w:p w:rsidR="0042007E" w:rsidRPr="0042007E" w:rsidRDefault="0042007E" w:rsidP="0042007E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07E">
        <w:rPr>
          <w:rFonts w:ascii="Times New Roman" w:hAnsi="Times New Roman"/>
          <w:sz w:val="28"/>
          <w:szCs w:val="28"/>
        </w:rPr>
        <w:t>В настоящее время наиболее развивающийся тип пластиковых карт — смарт-карты.</w:t>
      </w:r>
    </w:p>
    <w:p w:rsidR="0042007E" w:rsidRDefault="0042007E" w:rsidP="0042007E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42007E" w:rsidRPr="0042007E" w:rsidRDefault="0042007E" w:rsidP="0042007E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СПИСОК ИСПОЛЬЗОВАННОЙ ЛИТЕРАТУРЫ</w:t>
      </w:r>
    </w:p>
    <w:p w:rsidR="0042007E" w:rsidRPr="0042007E" w:rsidRDefault="0042007E" w:rsidP="0042007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007E" w:rsidRP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1. Закон о Национальном Банке КР.</w:t>
      </w:r>
    </w:p>
    <w:p w:rsidR="0042007E" w:rsidRP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2. Закон о банках и банковской деятельности в КР.</w:t>
      </w:r>
    </w:p>
    <w:p w:rsidR="0042007E" w:rsidRP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3. Гражданский Кодекс КР.</w:t>
      </w:r>
    </w:p>
    <w:p w:rsidR="0042007E" w:rsidRP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4. «Банковское дело» под ред. Бабичевой Ю.А., М. «Экономика» 1996 г.</w:t>
      </w:r>
    </w:p>
    <w:p w:rsidR="0042007E" w:rsidRPr="0042007E" w:rsidRDefault="0042007E" w:rsidP="0042007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2007E">
        <w:rPr>
          <w:rFonts w:ascii="Times New Roman" w:hAnsi="Times New Roman"/>
          <w:sz w:val="28"/>
          <w:szCs w:val="28"/>
          <w:lang w:val="ru-RU"/>
        </w:rPr>
        <w:t>5. «Основы банковского права» Олейник О.М., М. «Юристъ» 1997 г.</w:t>
      </w:r>
    </w:p>
    <w:p w:rsidR="00A25BF6" w:rsidRPr="0042007E" w:rsidRDefault="00A25BF6" w:rsidP="0042007E">
      <w:pPr>
        <w:spacing w:line="276" w:lineRule="auto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sectPr w:rsidR="00A25BF6" w:rsidRPr="0042007E" w:rsidSect="00A25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226CDA"/>
    <w:multiLevelType w:val="hybridMultilevel"/>
    <w:tmpl w:val="8F203284"/>
    <w:lvl w:ilvl="0" w:tplc="352E8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D32B86"/>
    <w:multiLevelType w:val="hybridMultilevel"/>
    <w:tmpl w:val="6A9C5292"/>
    <w:lvl w:ilvl="0" w:tplc="F2C0636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07E"/>
    <w:rsid w:val="003B4D5B"/>
    <w:rsid w:val="0042007E"/>
    <w:rsid w:val="00445770"/>
    <w:rsid w:val="00A25BF6"/>
    <w:rsid w:val="00BB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FC62F-AA96-4924-A6E1-DBA450646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07E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42007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42007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200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4200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42007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42007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42007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qFormat/>
    <w:rsid w:val="0042007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qFormat/>
    <w:rsid w:val="0042007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4200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4200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007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2007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2007E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2007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007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2007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2007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2007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2007E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42007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42007E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2007E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ідзаголовок Знак"/>
    <w:basedOn w:val="a0"/>
    <w:link w:val="a5"/>
    <w:uiPriority w:val="11"/>
    <w:rsid w:val="0042007E"/>
    <w:rPr>
      <w:rFonts w:ascii="Cambria" w:eastAsia="Times New Roman" w:hAnsi="Cambria"/>
      <w:sz w:val="24"/>
      <w:szCs w:val="24"/>
    </w:rPr>
  </w:style>
  <w:style w:type="character" w:styleId="a7">
    <w:name w:val="Strong"/>
    <w:basedOn w:val="a0"/>
    <w:uiPriority w:val="22"/>
    <w:qFormat/>
    <w:rsid w:val="0042007E"/>
    <w:rPr>
      <w:b/>
      <w:bCs/>
    </w:rPr>
  </w:style>
  <w:style w:type="character" w:styleId="a8">
    <w:name w:val="Emphasis"/>
    <w:basedOn w:val="a0"/>
    <w:uiPriority w:val="20"/>
    <w:qFormat/>
    <w:rsid w:val="0042007E"/>
    <w:rPr>
      <w:rFonts w:ascii="Calibri" w:hAnsi="Calibri"/>
      <w:b/>
      <w:i/>
      <w:iCs/>
    </w:rPr>
  </w:style>
  <w:style w:type="paragraph" w:customStyle="1" w:styleId="a9">
    <w:name w:val="Без интервала"/>
    <w:basedOn w:val="a"/>
    <w:uiPriority w:val="1"/>
    <w:qFormat/>
    <w:rsid w:val="0042007E"/>
    <w:rPr>
      <w:szCs w:val="32"/>
    </w:rPr>
  </w:style>
  <w:style w:type="paragraph" w:customStyle="1" w:styleId="aa">
    <w:name w:val="Абзац списка"/>
    <w:basedOn w:val="a"/>
    <w:uiPriority w:val="34"/>
    <w:qFormat/>
    <w:rsid w:val="0042007E"/>
    <w:pPr>
      <w:ind w:left="720"/>
      <w:contextualSpacing/>
    </w:pPr>
  </w:style>
  <w:style w:type="paragraph" w:customStyle="1" w:styleId="21">
    <w:name w:val="Цитата 2"/>
    <w:basedOn w:val="a"/>
    <w:next w:val="a"/>
    <w:link w:val="22"/>
    <w:uiPriority w:val="29"/>
    <w:qFormat/>
    <w:rsid w:val="0042007E"/>
    <w:rPr>
      <w:i/>
    </w:rPr>
  </w:style>
  <w:style w:type="character" w:customStyle="1" w:styleId="22">
    <w:name w:val="Цитата 2 Знак"/>
    <w:basedOn w:val="a0"/>
    <w:link w:val="21"/>
    <w:uiPriority w:val="29"/>
    <w:rsid w:val="0042007E"/>
    <w:rPr>
      <w:i/>
      <w:sz w:val="24"/>
      <w:szCs w:val="24"/>
    </w:rPr>
  </w:style>
  <w:style w:type="paragraph" w:customStyle="1" w:styleId="ab">
    <w:name w:val="Выделенная цитата"/>
    <w:basedOn w:val="a"/>
    <w:next w:val="a"/>
    <w:link w:val="ac"/>
    <w:uiPriority w:val="30"/>
    <w:qFormat/>
    <w:rsid w:val="0042007E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2007E"/>
    <w:rPr>
      <w:b/>
      <w:i/>
      <w:sz w:val="24"/>
    </w:rPr>
  </w:style>
  <w:style w:type="character" w:customStyle="1" w:styleId="ad">
    <w:name w:val="Слабое выделение"/>
    <w:uiPriority w:val="19"/>
    <w:qFormat/>
    <w:rsid w:val="0042007E"/>
    <w:rPr>
      <w:i/>
      <w:color w:val="5A5A5A"/>
    </w:rPr>
  </w:style>
  <w:style w:type="character" w:customStyle="1" w:styleId="ae">
    <w:name w:val="Сильное выделение"/>
    <w:basedOn w:val="a0"/>
    <w:uiPriority w:val="21"/>
    <w:qFormat/>
    <w:rsid w:val="0042007E"/>
    <w:rPr>
      <w:b/>
      <w:i/>
      <w:sz w:val="24"/>
      <w:szCs w:val="24"/>
      <w:u w:val="single"/>
    </w:rPr>
  </w:style>
  <w:style w:type="character" w:customStyle="1" w:styleId="af">
    <w:name w:val="Слабая ссылка"/>
    <w:basedOn w:val="a0"/>
    <w:uiPriority w:val="31"/>
    <w:qFormat/>
    <w:rsid w:val="0042007E"/>
    <w:rPr>
      <w:sz w:val="24"/>
      <w:szCs w:val="24"/>
      <w:u w:val="single"/>
    </w:rPr>
  </w:style>
  <w:style w:type="character" w:customStyle="1" w:styleId="af0">
    <w:name w:val="Сильная ссылка"/>
    <w:basedOn w:val="a0"/>
    <w:uiPriority w:val="32"/>
    <w:qFormat/>
    <w:rsid w:val="0042007E"/>
    <w:rPr>
      <w:b/>
      <w:sz w:val="24"/>
      <w:u w:val="single"/>
    </w:rPr>
  </w:style>
  <w:style w:type="character" w:customStyle="1" w:styleId="af1">
    <w:name w:val="Название книги"/>
    <w:basedOn w:val="a0"/>
    <w:uiPriority w:val="33"/>
    <w:qFormat/>
    <w:rsid w:val="0042007E"/>
    <w:rPr>
      <w:rFonts w:ascii="Cambria" w:eastAsia="Times New Roman" w:hAnsi="Cambria"/>
      <w:b/>
      <w:i/>
      <w:sz w:val="24"/>
      <w:szCs w:val="24"/>
    </w:rPr>
  </w:style>
  <w:style w:type="paragraph" w:customStyle="1" w:styleId="af2">
    <w:name w:val="Заголовок оглавления"/>
    <w:basedOn w:val="1"/>
    <w:next w:val="a"/>
    <w:uiPriority w:val="39"/>
    <w:semiHidden/>
    <w:unhideWhenUsed/>
    <w:qFormat/>
    <w:rsid w:val="0042007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3024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dcterms:created xsi:type="dcterms:W3CDTF">2014-08-19T18:57:00Z</dcterms:created>
  <dcterms:modified xsi:type="dcterms:W3CDTF">2014-08-19T18:57:00Z</dcterms:modified>
</cp:coreProperties>
</file>