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248" w:rsidRDefault="00B00248" w:rsidP="006C53AA">
      <w:pPr>
        <w:spacing w:line="360" w:lineRule="auto"/>
        <w:jc w:val="both"/>
        <w:rPr>
          <w:rFonts w:ascii="Arial" w:hAnsi="Arial" w:cs="Arial"/>
          <w:b/>
          <w:sz w:val="28"/>
          <w:szCs w:val="28"/>
        </w:rPr>
      </w:pPr>
    </w:p>
    <w:p w:rsidR="006C53AA" w:rsidRDefault="006C53AA" w:rsidP="006C53AA">
      <w:pPr>
        <w:spacing w:line="360" w:lineRule="auto"/>
        <w:jc w:val="both"/>
        <w:rPr>
          <w:rFonts w:ascii="Arial" w:hAnsi="Arial" w:cs="Arial"/>
          <w:b/>
          <w:sz w:val="28"/>
          <w:szCs w:val="28"/>
        </w:rPr>
      </w:pPr>
      <w:r>
        <w:rPr>
          <w:rFonts w:ascii="Arial" w:hAnsi="Arial" w:cs="Arial"/>
          <w:b/>
          <w:sz w:val="28"/>
          <w:szCs w:val="28"/>
        </w:rPr>
        <w:t>Система</w:t>
      </w:r>
      <w:r w:rsidRPr="000E03AD">
        <w:rPr>
          <w:rFonts w:ascii="Arial" w:hAnsi="Arial" w:cs="Arial"/>
          <w:b/>
          <w:sz w:val="28"/>
          <w:szCs w:val="28"/>
        </w:rPr>
        <w:t xml:space="preserve"> мероприятий по повышению качества </w:t>
      </w:r>
      <w:r>
        <w:rPr>
          <w:rFonts w:ascii="Arial" w:hAnsi="Arial" w:cs="Arial"/>
          <w:b/>
          <w:sz w:val="28"/>
          <w:szCs w:val="28"/>
        </w:rPr>
        <w:t>продукции.</w:t>
      </w:r>
    </w:p>
    <w:p w:rsidR="006C53AA" w:rsidRPr="000E03AD" w:rsidRDefault="006C53AA" w:rsidP="006C53AA">
      <w:pPr>
        <w:spacing w:line="360" w:lineRule="auto"/>
        <w:jc w:val="center"/>
        <w:rPr>
          <w:rFonts w:ascii="Arial" w:hAnsi="Arial" w:cs="Arial"/>
          <w:b/>
          <w:sz w:val="28"/>
          <w:szCs w:val="28"/>
        </w:rPr>
      </w:pPr>
      <w:r w:rsidRPr="00C02621">
        <w:rPr>
          <w:rFonts w:ascii="Arial" w:hAnsi="Arial" w:cs="Arial"/>
          <w:sz w:val="28"/>
          <w:szCs w:val="28"/>
        </w:rPr>
        <w:t>3.1.Характеристика мероприятий по повышению качества продукции, расчет затрат на внедрение</w:t>
      </w:r>
      <w:r>
        <w:rPr>
          <w:rFonts w:ascii="Arial" w:hAnsi="Arial" w:cs="Arial"/>
          <w:b/>
          <w:sz w:val="28"/>
          <w:szCs w:val="28"/>
        </w:rPr>
        <w:t>.</w:t>
      </w:r>
    </w:p>
    <w:p w:rsidR="006C53AA" w:rsidRDefault="006C53AA" w:rsidP="006C53AA">
      <w:pPr>
        <w:spacing w:line="360" w:lineRule="auto"/>
        <w:ind w:firstLine="720"/>
        <w:jc w:val="both"/>
        <w:rPr>
          <w:rFonts w:ascii="Arial" w:hAnsi="Arial" w:cs="Arial"/>
          <w:sz w:val="28"/>
          <w:szCs w:val="28"/>
        </w:rPr>
      </w:pPr>
      <w:r>
        <w:rPr>
          <w:rFonts w:ascii="Arial" w:hAnsi="Arial" w:cs="Arial"/>
          <w:sz w:val="28"/>
          <w:szCs w:val="28"/>
        </w:rPr>
        <w:t xml:space="preserve">Решить проблему качества на данном предприятии можно с помощью агротехнических мероприятий, которые были приведены в выводах раздела </w:t>
      </w:r>
      <w:r>
        <w:rPr>
          <w:rFonts w:ascii="Arial" w:hAnsi="Arial" w:cs="Arial"/>
          <w:sz w:val="28"/>
          <w:szCs w:val="28"/>
          <w:lang w:val="en-US"/>
        </w:rPr>
        <w:t>II</w:t>
      </w:r>
      <w:r>
        <w:rPr>
          <w:rFonts w:ascii="Arial" w:hAnsi="Arial" w:cs="Arial"/>
          <w:sz w:val="28"/>
          <w:szCs w:val="28"/>
        </w:rPr>
        <w:t>.</w:t>
      </w:r>
    </w:p>
    <w:p w:rsidR="006C53AA" w:rsidRDefault="006C53AA" w:rsidP="006C53AA">
      <w:pPr>
        <w:spacing w:line="360" w:lineRule="auto"/>
        <w:ind w:firstLine="720"/>
        <w:jc w:val="both"/>
        <w:rPr>
          <w:rFonts w:ascii="Arial" w:hAnsi="Arial" w:cs="Arial"/>
          <w:sz w:val="28"/>
          <w:szCs w:val="28"/>
        </w:rPr>
      </w:pPr>
      <w:r>
        <w:rPr>
          <w:rFonts w:ascii="Arial" w:hAnsi="Arial" w:cs="Arial"/>
          <w:sz w:val="28"/>
          <w:szCs w:val="28"/>
        </w:rPr>
        <w:t xml:space="preserve">Одним из распространенных и самых дешевых мер по повышению качества  продукции является </w:t>
      </w:r>
      <w:r w:rsidRPr="00C02621">
        <w:rPr>
          <w:rFonts w:ascii="Arial" w:hAnsi="Arial" w:cs="Arial"/>
          <w:sz w:val="28"/>
          <w:szCs w:val="28"/>
        </w:rPr>
        <w:t>подготовка почвы</w:t>
      </w:r>
      <w:r>
        <w:rPr>
          <w:rFonts w:ascii="Arial" w:hAnsi="Arial" w:cs="Arial"/>
          <w:sz w:val="28"/>
          <w:szCs w:val="28"/>
        </w:rPr>
        <w:t>. Суть данных мероприятий сводится к обработке почвы после сбора урожая, а также перед посевом сельскохозяйственных культур. Необходимо проводить осушение увлажненных участков, в том числе закрытым дренажем, орошение, уборка камней, известкование, поверхностное улучшении: боронование, подсев трав, удаление кустарников, мелколесья, вспашка, фрезерование, дискование. Данные работы позволяют уменьшить сорную и зерновую примесь и увеличить всхожесть, а также уменьшить возможность появления сорняков, которые тормозят рост и развитие сельскохозяйственных культур. Это необходимо осуществлять вовремя. Осуществление данных мероприятий включается в состав расходов от основной деятельности на производство продукции, поэтому привлечение инвестиций в данном направлении не является целесообразным.</w:t>
      </w:r>
    </w:p>
    <w:p w:rsidR="00DD1225" w:rsidRDefault="006C53AA" w:rsidP="006C53AA">
      <w:pPr>
        <w:spacing w:line="360" w:lineRule="auto"/>
        <w:ind w:firstLine="720"/>
        <w:jc w:val="both"/>
        <w:rPr>
          <w:rFonts w:ascii="Arial" w:hAnsi="Arial" w:cs="Arial"/>
          <w:sz w:val="28"/>
          <w:szCs w:val="28"/>
        </w:rPr>
      </w:pPr>
      <w:r>
        <w:rPr>
          <w:rFonts w:ascii="Arial" w:hAnsi="Arial" w:cs="Arial"/>
          <w:sz w:val="28"/>
          <w:szCs w:val="28"/>
        </w:rPr>
        <w:t xml:space="preserve">Данные мероприятия являются обязательными для осуществления сельскохозяйственной деятельности, но качество продукции во многом зависит от качества работ,  выполняемых в данном направлении, поэтому необходимо усилить </w:t>
      </w:r>
      <w:r w:rsidRPr="00C02621">
        <w:rPr>
          <w:rFonts w:ascii="Arial" w:hAnsi="Arial" w:cs="Arial"/>
          <w:sz w:val="28"/>
          <w:szCs w:val="28"/>
        </w:rPr>
        <w:t>контроль за выполнением работы и стимулировать рабочих к высококачественному труду</w:t>
      </w:r>
      <w:r>
        <w:rPr>
          <w:rFonts w:ascii="Arial" w:hAnsi="Arial" w:cs="Arial"/>
          <w:sz w:val="28"/>
          <w:szCs w:val="28"/>
        </w:rPr>
        <w:t xml:space="preserve">. Так как предприятие хоть и является рентабельным, но применение системы премирования будет не выгодным, потому что прибыль не сможет покрыть затрат на премирования труда рабочих с учетом осуществления следующих мероприятий по повышению качества. Необходимо  </w:t>
      </w:r>
      <w:r w:rsidR="00DD1225">
        <w:rPr>
          <w:rFonts w:ascii="Arial" w:hAnsi="Arial" w:cs="Arial"/>
          <w:sz w:val="28"/>
          <w:szCs w:val="28"/>
        </w:rPr>
        <w:t xml:space="preserve">обработки составляет 19840 грн. Предприятия финансирует лишь не полную обработку семян (50 % от стоимости), следовательно необходимо привлечь инвестиции на сумму 9920 грн. По ячменю норма обработки 1 тонны посевного зерна составляет 200 грн.,а тогда общая стоимость обработки семян ячменя составляет 4860 грн. на 24,3 т.  Предприятие не финансирует данный вид обработки полностью. Для подсолнечника особо не применяют данный вид обработки посевного зерна в сельскохозяйственном производстве. </w:t>
      </w:r>
    </w:p>
    <w:p w:rsidR="00DD1225" w:rsidRPr="007B478A" w:rsidRDefault="00DD1225" w:rsidP="00DD1225">
      <w:pPr>
        <w:spacing w:line="360" w:lineRule="auto"/>
        <w:ind w:firstLine="720"/>
        <w:jc w:val="both"/>
        <w:rPr>
          <w:rFonts w:ascii="Arial" w:hAnsi="Arial" w:cs="Arial"/>
          <w:sz w:val="28"/>
          <w:szCs w:val="28"/>
        </w:rPr>
      </w:pPr>
      <w:r w:rsidRPr="00C02621">
        <w:rPr>
          <w:rFonts w:ascii="Arial" w:hAnsi="Arial" w:cs="Arial"/>
          <w:sz w:val="28"/>
          <w:szCs w:val="28"/>
        </w:rPr>
        <w:t>Полевая апробация</w:t>
      </w:r>
      <w:r>
        <w:rPr>
          <w:rFonts w:ascii="Arial" w:hAnsi="Arial" w:cs="Arial"/>
          <w:sz w:val="28"/>
          <w:szCs w:val="28"/>
        </w:rPr>
        <w:t xml:space="preserve"> – основной метод сортового контроля. Ее задача – определить возможность использования урожая с сортовых посевов на семенные цели. Апробацию сортовых посевов проводят по плану, утвержденному областным управлением сельского хозяйства, лица, имеющие специальную подготовку и соответствующее удостоверение. Меры борьбы с сорняками на необрабатываемых землях (обочины дорог, межи, пустыри, полезащитные лесные полосы, овраги и балки, участки возле высоковольтных линий и прочие) – периодическое лущение, скашивание, прополка, опрыскивание гербицидами до цветения и плодоношение. Наиболее эффективный способ – огневой. </w:t>
      </w:r>
    </w:p>
    <w:p w:rsidR="00DD1225" w:rsidRDefault="00DD1225" w:rsidP="00DD1225">
      <w:pPr>
        <w:spacing w:line="360" w:lineRule="auto"/>
        <w:ind w:firstLine="720"/>
        <w:jc w:val="both"/>
        <w:rPr>
          <w:rFonts w:ascii="Arial" w:hAnsi="Arial" w:cs="Arial"/>
          <w:sz w:val="28"/>
          <w:szCs w:val="28"/>
        </w:rPr>
      </w:pPr>
      <w:r>
        <w:rPr>
          <w:rFonts w:ascii="Arial" w:hAnsi="Arial" w:cs="Arial"/>
          <w:sz w:val="28"/>
          <w:szCs w:val="28"/>
        </w:rPr>
        <w:t xml:space="preserve">Особое влияние на качество изготавливаемой продукции оказывает использование </w:t>
      </w:r>
      <w:r w:rsidRPr="00C02621">
        <w:rPr>
          <w:rFonts w:ascii="Arial" w:hAnsi="Arial" w:cs="Arial"/>
          <w:sz w:val="28"/>
          <w:szCs w:val="28"/>
        </w:rPr>
        <w:t>качественной и технически подготовленной техники</w:t>
      </w:r>
      <w:r>
        <w:rPr>
          <w:rFonts w:ascii="Arial" w:hAnsi="Arial" w:cs="Arial"/>
          <w:sz w:val="28"/>
          <w:szCs w:val="28"/>
        </w:rPr>
        <w:t xml:space="preserve">. Необходимо постоянно проводить амортизационные отчисления на повышение уровня состояния сельскохозяйственной техники. Условия использования и демонтажа техники приводят к быстрому старению и необходимости замены или ремонту. В наличии у предприятия есть такие наименования техники : тракторы и комбайны ДТ- 75, МТЗ– 80, МТЗ- 82, Т-25 А; самоходные шасси Т- 16 М; комбайны СК– 5 «Нива», КС- 2,6;  ККУ- 2 «Дружба». </w:t>
      </w:r>
    </w:p>
    <w:p w:rsidR="00DD1225" w:rsidRDefault="00DD1225" w:rsidP="00DD1225">
      <w:pPr>
        <w:spacing w:line="360" w:lineRule="auto"/>
        <w:ind w:firstLine="720"/>
        <w:jc w:val="both"/>
        <w:rPr>
          <w:rFonts w:ascii="Arial" w:hAnsi="Arial" w:cs="Arial"/>
          <w:sz w:val="28"/>
          <w:szCs w:val="28"/>
        </w:rPr>
      </w:pPr>
    </w:p>
    <w:p w:rsidR="00DD1225" w:rsidRDefault="00DD1225"/>
    <w:p w:rsidR="00DD1225" w:rsidRDefault="00DD1225"/>
    <w:p w:rsidR="006C53AA" w:rsidRDefault="006C53AA" w:rsidP="00DD1225">
      <w:pPr>
        <w:spacing w:line="360" w:lineRule="auto"/>
        <w:ind w:firstLine="720"/>
        <w:jc w:val="center"/>
        <w:rPr>
          <w:rFonts w:ascii="Arial" w:hAnsi="Arial" w:cs="Arial"/>
          <w:b/>
          <w:sz w:val="28"/>
          <w:szCs w:val="28"/>
        </w:rPr>
      </w:pPr>
    </w:p>
    <w:p w:rsidR="006C6C34" w:rsidRDefault="006C6C34" w:rsidP="00DD1225">
      <w:pPr>
        <w:spacing w:line="360" w:lineRule="auto"/>
        <w:ind w:firstLine="720"/>
        <w:jc w:val="center"/>
        <w:rPr>
          <w:rFonts w:ascii="Arial" w:hAnsi="Arial" w:cs="Arial"/>
          <w:sz w:val="28"/>
          <w:szCs w:val="28"/>
          <w:lang w:val="en-US"/>
        </w:rPr>
      </w:pPr>
    </w:p>
    <w:p w:rsidR="00DD1225" w:rsidRPr="006C6C34" w:rsidRDefault="00DD1225" w:rsidP="00DD1225">
      <w:pPr>
        <w:spacing w:line="360" w:lineRule="auto"/>
        <w:ind w:firstLine="720"/>
        <w:jc w:val="center"/>
        <w:rPr>
          <w:rFonts w:ascii="Arial" w:hAnsi="Arial" w:cs="Arial"/>
          <w:sz w:val="28"/>
          <w:szCs w:val="28"/>
          <w:lang w:val="en-US"/>
        </w:rPr>
      </w:pPr>
      <w:r w:rsidRPr="00C02621">
        <w:rPr>
          <w:rFonts w:ascii="Arial" w:hAnsi="Arial" w:cs="Arial"/>
          <w:sz w:val="28"/>
          <w:szCs w:val="28"/>
        </w:rPr>
        <w:t>3.2. Оценка эффективности капитальных вложений</w:t>
      </w:r>
    </w:p>
    <w:p w:rsidR="00DD1225" w:rsidRDefault="00DD1225" w:rsidP="00DD1225">
      <w:pPr>
        <w:spacing w:line="360" w:lineRule="auto"/>
        <w:ind w:firstLine="720"/>
        <w:jc w:val="both"/>
        <w:rPr>
          <w:rFonts w:ascii="Arial" w:hAnsi="Arial" w:cs="Arial"/>
          <w:sz w:val="28"/>
          <w:szCs w:val="28"/>
        </w:rPr>
      </w:pPr>
      <w:r>
        <w:rPr>
          <w:rFonts w:ascii="Arial" w:hAnsi="Arial" w:cs="Arial"/>
          <w:sz w:val="28"/>
          <w:szCs w:val="28"/>
        </w:rPr>
        <w:t xml:space="preserve">При оценке эффективности капитальных вложений в данном направлении используется величина единовременных капитальных вложений, сравнивается с суммарной дисконтированной стоимостью денежных доходов по проекту. Важное значение при этом имеет – дисконтная ставка – норма прибыли, по которой рассчитывается приведенная стоимость. Дисконтная ставка отражает минимальный уровень доходов предприятия, ниже которого нецелесообразно вкладывать капитал в технический проект. Она приравнивается, как правило, к проценту на долгосрочные вклады на депозитных счетах в банках. </w:t>
      </w:r>
    </w:p>
    <w:p w:rsidR="00DD1225" w:rsidRDefault="00DD1225" w:rsidP="00DD1225">
      <w:pPr>
        <w:spacing w:line="360" w:lineRule="auto"/>
        <w:ind w:firstLine="720"/>
        <w:jc w:val="both"/>
        <w:rPr>
          <w:rFonts w:ascii="Arial" w:hAnsi="Arial" w:cs="Arial"/>
          <w:sz w:val="28"/>
          <w:szCs w:val="28"/>
        </w:rPr>
      </w:pPr>
      <w:r>
        <w:rPr>
          <w:rFonts w:ascii="Arial" w:hAnsi="Arial" w:cs="Arial"/>
          <w:sz w:val="28"/>
          <w:szCs w:val="28"/>
        </w:rPr>
        <w:t>В таблице</w:t>
      </w:r>
      <w:r w:rsidR="00C02621" w:rsidRPr="00C02621">
        <w:rPr>
          <w:rFonts w:ascii="Arial" w:hAnsi="Arial" w:cs="Arial"/>
          <w:sz w:val="28"/>
          <w:szCs w:val="28"/>
        </w:rPr>
        <w:t>3</w:t>
      </w:r>
      <w:r w:rsidR="00C02621">
        <w:rPr>
          <w:rFonts w:ascii="Arial" w:hAnsi="Arial" w:cs="Arial"/>
          <w:sz w:val="28"/>
          <w:szCs w:val="28"/>
        </w:rPr>
        <w:t xml:space="preserve">.2.1 </w:t>
      </w:r>
      <w:r>
        <w:rPr>
          <w:rFonts w:ascii="Arial" w:hAnsi="Arial" w:cs="Arial"/>
          <w:sz w:val="28"/>
          <w:szCs w:val="28"/>
        </w:rPr>
        <w:t>приведен пример расчета эффективности инвестиций по указанному выше методу. Первоначальная стоимость инвестируемых объектов – 3449,2 тыс.грн., ликвидационная стоимость- 215,6 тыс.грн., срок службы (с учетов усталости металла) – 10 лет, ежегодный чистый доход составляет приблизительно 83 тыс.грн., а амортизационные отчисления – 1054 тыс. грн., дисконтная ставка – 0,1</w:t>
      </w:r>
    </w:p>
    <w:p w:rsidR="00DD1225" w:rsidRPr="00C02621" w:rsidRDefault="00DD1225" w:rsidP="00DD1225">
      <w:pPr>
        <w:spacing w:line="360" w:lineRule="auto"/>
        <w:ind w:firstLine="720"/>
        <w:jc w:val="right"/>
        <w:rPr>
          <w:rFonts w:ascii="Arial" w:hAnsi="Arial" w:cs="Arial"/>
          <w:sz w:val="28"/>
          <w:szCs w:val="28"/>
        </w:rPr>
      </w:pPr>
      <w:r w:rsidRPr="00C02621">
        <w:rPr>
          <w:rFonts w:ascii="Arial" w:hAnsi="Arial" w:cs="Arial"/>
          <w:b/>
          <w:sz w:val="28"/>
          <w:szCs w:val="28"/>
        </w:rPr>
        <w:t xml:space="preserve"> </w:t>
      </w:r>
      <w:r w:rsidRPr="00C02621">
        <w:rPr>
          <w:rFonts w:ascii="Arial" w:hAnsi="Arial" w:cs="Arial"/>
          <w:sz w:val="28"/>
          <w:szCs w:val="28"/>
        </w:rPr>
        <w:t>Таблица</w:t>
      </w:r>
      <w:r w:rsidR="00C02621" w:rsidRPr="00C02621">
        <w:rPr>
          <w:rFonts w:ascii="Arial" w:hAnsi="Arial" w:cs="Arial"/>
          <w:sz w:val="28"/>
          <w:szCs w:val="28"/>
        </w:rPr>
        <w:t>3.2.</w:t>
      </w:r>
      <w:r w:rsidRPr="00C02621">
        <w:rPr>
          <w:rFonts w:ascii="Arial" w:hAnsi="Arial" w:cs="Arial"/>
          <w:sz w:val="28"/>
          <w:szCs w:val="28"/>
        </w:rPr>
        <w:t>1</w:t>
      </w:r>
    </w:p>
    <w:p w:rsidR="00DD1225" w:rsidRDefault="00DD1225" w:rsidP="00DD1225">
      <w:pPr>
        <w:spacing w:line="360" w:lineRule="auto"/>
        <w:ind w:firstLine="720"/>
        <w:jc w:val="center"/>
        <w:rPr>
          <w:rFonts w:ascii="Arial" w:hAnsi="Arial" w:cs="Arial"/>
          <w:b/>
          <w:sz w:val="28"/>
          <w:szCs w:val="28"/>
        </w:rPr>
      </w:pPr>
      <w:r w:rsidRPr="00C02621">
        <w:rPr>
          <w:rFonts w:ascii="Arial" w:hAnsi="Arial" w:cs="Arial"/>
          <w:sz w:val="28"/>
          <w:szCs w:val="28"/>
        </w:rPr>
        <w:t>Определение эффективности инвестиций с дисконтированием величины денежных доходов, тыс. грн</w:t>
      </w:r>
      <w:r>
        <w:rPr>
          <w:rFonts w:ascii="Arial" w:hAnsi="Arial" w:cs="Arial"/>
          <w:b/>
          <w:sz w:val="28"/>
          <w:szCs w:val="28"/>
        </w:rPr>
        <w:t>.</w:t>
      </w:r>
    </w:p>
    <w:tbl>
      <w:tblP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242"/>
        <w:gridCol w:w="1231"/>
        <w:gridCol w:w="1236"/>
        <w:gridCol w:w="1244"/>
        <w:gridCol w:w="1232"/>
        <w:gridCol w:w="818"/>
        <w:gridCol w:w="1783"/>
      </w:tblGrid>
      <w:tr w:rsidR="00DD1225" w:rsidRPr="00A6502A" w:rsidTr="00A6502A">
        <w:trPr>
          <w:cantSplit/>
          <w:trHeight w:val="2658"/>
        </w:trPr>
        <w:tc>
          <w:tcPr>
            <w:tcW w:w="1242" w:type="dxa"/>
            <w:textDirection w:val="btLr"/>
          </w:tcPr>
          <w:p w:rsidR="00DD1225" w:rsidRPr="00A6502A" w:rsidRDefault="00DD1225" w:rsidP="00A6502A">
            <w:pPr>
              <w:spacing w:line="360" w:lineRule="auto"/>
              <w:ind w:left="113" w:right="113"/>
              <w:jc w:val="center"/>
              <w:rPr>
                <w:rFonts w:ascii="Arial" w:hAnsi="Arial" w:cs="Arial"/>
                <w:sz w:val="20"/>
                <w:szCs w:val="20"/>
              </w:rPr>
            </w:pPr>
          </w:p>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Годы</w:t>
            </w:r>
          </w:p>
        </w:tc>
        <w:tc>
          <w:tcPr>
            <w:tcW w:w="1242" w:type="dxa"/>
            <w:textDirection w:val="btLr"/>
          </w:tcPr>
          <w:p w:rsidR="00DD1225" w:rsidRPr="00A6502A" w:rsidRDefault="00DD1225" w:rsidP="00A6502A">
            <w:pPr>
              <w:spacing w:line="360" w:lineRule="auto"/>
              <w:ind w:left="113" w:right="113"/>
              <w:jc w:val="center"/>
              <w:rPr>
                <w:rFonts w:ascii="Arial" w:hAnsi="Arial" w:cs="Arial"/>
                <w:sz w:val="20"/>
                <w:szCs w:val="20"/>
              </w:rPr>
            </w:pPr>
          </w:p>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Инвестиции, тыс. грн.</w:t>
            </w:r>
          </w:p>
        </w:tc>
        <w:tc>
          <w:tcPr>
            <w:tcW w:w="1231" w:type="dxa"/>
            <w:textDirection w:val="btLr"/>
          </w:tcPr>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Величина прибыли Р, тыс.грн.</w:t>
            </w:r>
          </w:p>
        </w:tc>
        <w:tc>
          <w:tcPr>
            <w:tcW w:w="1236" w:type="dxa"/>
            <w:textDirection w:val="btLr"/>
          </w:tcPr>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Величина амортизационных отчислений А, тыс.грн.</w:t>
            </w:r>
          </w:p>
        </w:tc>
        <w:tc>
          <w:tcPr>
            <w:tcW w:w="1244" w:type="dxa"/>
            <w:textDirection w:val="btLr"/>
          </w:tcPr>
          <w:p w:rsidR="00DD1225" w:rsidRPr="00A6502A" w:rsidRDefault="00DD1225" w:rsidP="00A6502A">
            <w:pPr>
              <w:spacing w:line="360" w:lineRule="auto"/>
              <w:ind w:left="113" w:right="113"/>
              <w:jc w:val="center"/>
              <w:rPr>
                <w:rFonts w:ascii="Arial" w:hAnsi="Arial" w:cs="Arial"/>
                <w:sz w:val="20"/>
                <w:szCs w:val="20"/>
              </w:rPr>
            </w:pPr>
          </w:p>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Р+А</w:t>
            </w:r>
          </w:p>
        </w:tc>
        <w:tc>
          <w:tcPr>
            <w:tcW w:w="1232" w:type="dxa"/>
            <w:textDirection w:val="btLr"/>
          </w:tcPr>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Дисконтная ставка Е, проц. / 100</w:t>
            </w:r>
          </w:p>
        </w:tc>
        <w:tc>
          <w:tcPr>
            <w:tcW w:w="818" w:type="dxa"/>
            <w:textDirection w:val="btLr"/>
          </w:tcPr>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(1+Е)</w:t>
            </w:r>
          </w:p>
        </w:tc>
        <w:tc>
          <w:tcPr>
            <w:tcW w:w="1783" w:type="dxa"/>
            <w:textDirection w:val="btLr"/>
          </w:tcPr>
          <w:p w:rsidR="00DD1225" w:rsidRPr="00A6502A" w:rsidRDefault="00DD1225" w:rsidP="00A6502A">
            <w:pPr>
              <w:spacing w:line="360" w:lineRule="auto"/>
              <w:ind w:left="113" w:right="113"/>
              <w:jc w:val="center"/>
              <w:rPr>
                <w:rFonts w:ascii="Arial" w:hAnsi="Arial" w:cs="Arial"/>
                <w:sz w:val="20"/>
                <w:szCs w:val="20"/>
              </w:rPr>
            </w:pPr>
            <w:r w:rsidRPr="00A6502A">
              <w:rPr>
                <w:rFonts w:ascii="Arial" w:hAnsi="Arial" w:cs="Arial"/>
                <w:sz w:val="20"/>
                <w:szCs w:val="20"/>
              </w:rPr>
              <w:t>Суммарная дисконтированная стоимость, тыс. грн.</w:t>
            </w:r>
          </w:p>
        </w:tc>
      </w:tr>
      <w:tr w:rsidR="00DD1225" w:rsidRPr="00A6502A" w:rsidTr="00A6502A">
        <w:trPr>
          <w:trHeight w:val="368"/>
        </w:trPr>
        <w:tc>
          <w:tcPr>
            <w:tcW w:w="124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1</w:t>
            </w:r>
          </w:p>
        </w:tc>
        <w:tc>
          <w:tcPr>
            <w:tcW w:w="124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2</w:t>
            </w:r>
          </w:p>
        </w:tc>
        <w:tc>
          <w:tcPr>
            <w:tcW w:w="1231"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3</w:t>
            </w:r>
          </w:p>
        </w:tc>
        <w:tc>
          <w:tcPr>
            <w:tcW w:w="1236"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4</w:t>
            </w:r>
          </w:p>
        </w:tc>
        <w:tc>
          <w:tcPr>
            <w:tcW w:w="1244"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5</w:t>
            </w:r>
          </w:p>
        </w:tc>
        <w:tc>
          <w:tcPr>
            <w:tcW w:w="123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6</w:t>
            </w:r>
          </w:p>
        </w:tc>
        <w:tc>
          <w:tcPr>
            <w:tcW w:w="818"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7</w:t>
            </w:r>
          </w:p>
        </w:tc>
        <w:tc>
          <w:tcPr>
            <w:tcW w:w="1783"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8</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0</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3449,2</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r>
      <w:tr w:rsidR="00DD1225" w:rsidRPr="00A6502A" w:rsidTr="00A6502A">
        <w:trPr>
          <w:trHeight w:val="468"/>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1</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1,1</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1033,63</w:t>
            </w:r>
          </w:p>
        </w:tc>
      </w:tr>
      <w:tr w:rsidR="00DD1225" w:rsidRPr="00A6502A" w:rsidTr="00A6502A">
        <w:trPr>
          <w:trHeight w:val="723"/>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2</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1,21</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939,67</w:t>
            </w:r>
          </w:p>
        </w:tc>
      </w:tr>
      <w:tr w:rsidR="00DD1225" w:rsidRPr="00A6502A" w:rsidTr="00A6502A">
        <w:trPr>
          <w:trHeight w:val="368"/>
        </w:trPr>
        <w:tc>
          <w:tcPr>
            <w:tcW w:w="124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1</w:t>
            </w:r>
          </w:p>
        </w:tc>
        <w:tc>
          <w:tcPr>
            <w:tcW w:w="124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2</w:t>
            </w:r>
          </w:p>
        </w:tc>
        <w:tc>
          <w:tcPr>
            <w:tcW w:w="1231"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3</w:t>
            </w:r>
          </w:p>
        </w:tc>
        <w:tc>
          <w:tcPr>
            <w:tcW w:w="1236"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4</w:t>
            </w:r>
          </w:p>
        </w:tc>
        <w:tc>
          <w:tcPr>
            <w:tcW w:w="1244"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5</w:t>
            </w:r>
          </w:p>
        </w:tc>
        <w:tc>
          <w:tcPr>
            <w:tcW w:w="1232"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6</w:t>
            </w:r>
          </w:p>
        </w:tc>
        <w:tc>
          <w:tcPr>
            <w:tcW w:w="818"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7</w:t>
            </w:r>
          </w:p>
        </w:tc>
        <w:tc>
          <w:tcPr>
            <w:tcW w:w="1783" w:type="dxa"/>
          </w:tcPr>
          <w:p w:rsidR="00DD1225" w:rsidRPr="00A6502A" w:rsidRDefault="00DD1225" w:rsidP="00A6502A">
            <w:pPr>
              <w:spacing w:line="360" w:lineRule="auto"/>
              <w:jc w:val="center"/>
              <w:rPr>
                <w:rFonts w:ascii="Arial" w:hAnsi="Arial" w:cs="Arial"/>
                <w:b/>
                <w:sz w:val="20"/>
                <w:szCs w:val="20"/>
              </w:rPr>
            </w:pPr>
            <w:r w:rsidRPr="00A6502A">
              <w:rPr>
                <w:rFonts w:ascii="Arial" w:hAnsi="Arial" w:cs="Arial"/>
                <w:b/>
                <w:sz w:val="20"/>
                <w:szCs w:val="20"/>
              </w:rPr>
              <w:t>8</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3</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1,33</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854,25</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4</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1,464</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776,64</w:t>
            </w:r>
          </w:p>
        </w:tc>
      </w:tr>
      <w:tr w:rsidR="00DD1225" w:rsidRPr="00A6502A" w:rsidTr="00A6502A">
        <w:trPr>
          <w:trHeight w:val="468"/>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5</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1,611</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705,77</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6</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1,771</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642,01</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7</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1,945</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548,58</w:t>
            </w:r>
          </w:p>
        </w:tc>
      </w:tr>
      <w:tr w:rsidR="00DD1225" w:rsidRPr="00A6502A" w:rsidTr="00A6502A">
        <w:trPr>
          <w:trHeight w:val="468"/>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8</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2,137</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532,05</w:t>
            </w:r>
          </w:p>
        </w:tc>
      </w:tr>
      <w:tr w:rsidR="00DD1225" w:rsidRPr="00A6502A" w:rsidTr="00A6502A">
        <w:trPr>
          <w:trHeight w:val="451"/>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9</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2,348</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488,24</w:t>
            </w:r>
          </w:p>
        </w:tc>
      </w:tr>
      <w:tr w:rsidR="00DD1225" w:rsidRPr="00A6502A" w:rsidTr="00A6502A">
        <w:trPr>
          <w:trHeight w:val="468"/>
        </w:trPr>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10</w:t>
            </w:r>
          </w:p>
        </w:tc>
        <w:tc>
          <w:tcPr>
            <w:tcW w:w="1242" w:type="dxa"/>
          </w:tcPr>
          <w:p w:rsidR="00DD1225" w:rsidRPr="00A6502A" w:rsidRDefault="00DD1225" w:rsidP="00A6502A">
            <w:pPr>
              <w:spacing w:line="360" w:lineRule="auto"/>
              <w:jc w:val="center"/>
              <w:rPr>
                <w:rFonts w:ascii="Arial" w:hAnsi="Arial" w:cs="Arial"/>
              </w:rPr>
            </w:pPr>
            <w:r w:rsidRPr="00A6502A">
              <w:rPr>
                <w:rFonts w:ascii="Arial" w:hAnsi="Arial" w:cs="Arial"/>
              </w:rPr>
              <w:t>-</w:t>
            </w:r>
          </w:p>
        </w:tc>
        <w:tc>
          <w:tcPr>
            <w:tcW w:w="1231" w:type="dxa"/>
          </w:tcPr>
          <w:p w:rsidR="00DD1225" w:rsidRPr="00A6502A" w:rsidRDefault="00DD1225" w:rsidP="00A6502A">
            <w:pPr>
              <w:spacing w:line="360" w:lineRule="auto"/>
              <w:jc w:val="center"/>
              <w:rPr>
                <w:rFonts w:ascii="Arial" w:hAnsi="Arial" w:cs="Arial"/>
              </w:rPr>
            </w:pPr>
            <w:r w:rsidRPr="00A6502A">
              <w:rPr>
                <w:rFonts w:ascii="Arial" w:hAnsi="Arial" w:cs="Arial"/>
              </w:rPr>
              <w:t>83</w:t>
            </w:r>
          </w:p>
        </w:tc>
        <w:tc>
          <w:tcPr>
            <w:tcW w:w="1236" w:type="dxa"/>
          </w:tcPr>
          <w:p w:rsidR="00DD1225" w:rsidRPr="00A6502A" w:rsidRDefault="00DD1225" w:rsidP="00A6502A">
            <w:pPr>
              <w:spacing w:line="360" w:lineRule="auto"/>
              <w:jc w:val="center"/>
              <w:rPr>
                <w:rFonts w:ascii="Arial" w:hAnsi="Arial" w:cs="Arial"/>
              </w:rPr>
            </w:pPr>
            <w:r w:rsidRPr="00A6502A">
              <w:rPr>
                <w:rFonts w:ascii="Arial" w:hAnsi="Arial" w:cs="Arial"/>
              </w:rPr>
              <w:t>1054</w:t>
            </w:r>
          </w:p>
        </w:tc>
        <w:tc>
          <w:tcPr>
            <w:tcW w:w="1244" w:type="dxa"/>
          </w:tcPr>
          <w:p w:rsidR="00DD1225" w:rsidRPr="00A6502A" w:rsidRDefault="00DD1225" w:rsidP="00A6502A">
            <w:pPr>
              <w:spacing w:line="360" w:lineRule="auto"/>
              <w:jc w:val="center"/>
              <w:rPr>
                <w:rFonts w:ascii="Arial" w:hAnsi="Arial" w:cs="Arial"/>
              </w:rPr>
            </w:pPr>
            <w:r w:rsidRPr="00A6502A">
              <w:rPr>
                <w:rFonts w:ascii="Arial" w:hAnsi="Arial" w:cs="Arial"/>
              </w:rPr>
              <w:t>1137</w:t>
            </w:r>
          </w:p>
        </w:tc>
        <w:tc>
          <w:tcPr>
            <w:tcW w:w="1232" w:type="dxa"/>
          </w:tcPr>
          <w:p w:rsidR="00DD1225" w:rsidRPr="00A6502A" w:rsidRDefault="00DD1225" w:rsidP="00A6502A">
            <w:pPr>
              <w:spacing w:line="360" w:lineRule="auto"/>
              <w:jc w:val="center"/>
              <w:rPr>
                <w:rFonts w:ascii="Arial" w:hAnsi="Arial" w:cs="Arial"/>
              </w:rPr>
            </w:pPr>
            <w:r w:rsidRPr="00A6502A">
              <w:rPr>
                <w:rFonts w:ascii="Arial" w:hAnsi="Arial" w:cs="Arial"/>
              </w:rPr>
              <w:t>0,1</w:t>
            </w:r>
          </w:p>
        </w:tc>
        <w:tc>
          <w:tcPr>
            <w:tcW w:w="818" w:type="dxa"/>
          </w:tcPr>
          <w:p w:rsidR="00DD1225" w:rsidRPr="00A6502A" w:rsidRDefault="00DD1225" w:rsidP="00A6502A">
            <w:pPr>
              <w:spacing w:line="360" w:lineRule="auto"/>
              <w:jc w:val="center"/>
              <w:rPr>
                <w:rFonts w:ascii="Arial" w:hAnsi="Arial" w:cs="Arial"/>
              </w:rPr>
            </w:pPr>
            <w:r w:rsidRPr="00A6502A">
              <w:rPr>
                <w:rFonts w:ascii="Arial" w:hAnsi="Arial" w:cs="Arial"/>
              </w:rPr>
              <w:t>2,579</w:t>
            </w: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440,87</w:t>
            </w:r>
          </w:p>
        </w:tc>
      </w:tr>
      <w:tr w:rsidR="00DD1225" w:rsidRPr="00A6502A" w:rsidTr="00A6502A">
        <w:trPr>
          <w:trHeight w:val="468"/>
        </w:trPr>
        <w:tc>
          <w:tcPr>
            <w:tcW w:w="1242" w:type="dxa"/>
          </w:tcPr>
          <w:p w:rsidR="00DD1225" w:rsidRPr="00A6502A" w:rsidRDefault="00DD1225" w:rsidP="00A6502A">
            <w:pPr>
              <w:spacing w:line="360" w:lineRule="auto"/>
              <w:jc w:val="center"/>
              <w:rPr>
                <w:rFonts w:ascii="Arial" w:hAnsi="Arial" w:cs="Arial"/>
                <w:sz w:val="20"/>
                <w:szCs w:val="20"/>
              </w:rPr>
            </w:pPr>
            <w:r w:rsidRPr="00A6502A">
              <w:rPr>
                <w:rFonts w:ascii="Arial" w:hAnsi="Arial" w:cs="Arial"/>
                <w:sz w:val="20"/>
                <w:szCs w:val="20"/>
              </w:rPr>
              <w:t>Итого</w:t>
            </w:r>
          </w:p>
        </w:tc>
        <w:tc>
          <w:tcPr>
            <w:tcW w:w="1242" w:type="dxa"/>
          </w:tcPr>
          <w:p w:rsidR="00DD1225" w:rsidRPr="00A6502A" w:rsidRDefault="00DD1225" w:rsidP="00A6502A">
            <w:pPr>
              <w:spacing w:line="360" w:lineRule="auto"/>
              <w:jc w:val="center"/>
              <w:rPr>
                <w:rFonts w:ascii="Arial" w:hAnsi="Arial" w:cs="Arial"/>
              </w:rPr>
            </w:pPr>
          </w:p>
        </w:tc>
        <w:tc>
          <w:tcPr>
            <w:tcW w:w="1231" w:type="dxa"/>
          </w:tcPr>
          <w:p w:rsidR="00DD1225" w:rsidRPr="00A6502A" w:rsidRDefault="00DD1225" w:rsidP="00A6502A">
            <w:pPr>
              <w:spacing w:line="360" w:lineRule="auto"/>
              <w:jc w:val="center"/>
              <w:rPr>
                <w:rFonts w:ascii="Arial" w:hAnsi="Arial" w:cs="Arial"/>
              </w:rPr>
            </w:pPr>
          </w:p>
        </w:tc>
        <w:tc>
          <w:tcPr>
            <w:tcW w:w="1236" w:type="dxa"/>
          </w:tcPr>
          <w:p w:rsidR="00DD1225" w:rsidRPr="00A6502A" w:rsidRDefault="00DD1225" w:rsidP="00A6502A">
            <w:pPr>
              <w:spacing w:line="360" w:lineRule="auto"/>
              <w:jc w:val="center"/>
              <w:rPr>
                <w:rFonts w:ascii="Arial" w:hAnsi="Arial" w:cs="Arial"/>
              </w:rPr>
            </w:pPr>
          </w:p>
        </w:tc>
        <w:tc>
          <w:tcPr>
            <w:tcW w:w="1244" w:type="dxa"/>
          </w:tcPr>
          <w:p w:rsidR="00DD1225" w:rsidRPr="00A6502A" w:rsidRDefault="00DD1225" w:rsidP="00A6502A">
            <w:pPr>
              <w:spacing w:line="360" w:lineRule="auto"/>
              <w:jc w:val="center"/>
              <w:rPr>
                <w:rFonts w:ascii="Arial" w:hAnsi="Arial" w:cs="Arial"/>
              </w:rPr>
            </w:pPr>
          </w:p>
        </w:tc>
        <w:tc>
          <w:tcPr>
            <w:tcW w:w="1232" w:type="dxa"/>
          </w:tcPr>
          <w:p w:rsidR="00DD1225" w:rsidRPr="00A6502A" w:rsidRDefault="00DD1225" w:rsidP="00A6502A">
            <w:pPr>
              <w:spacing w:line="360" w:lineRule="auto"/>
              <w:jc w:val="center"/>
              <w:rPr>
                <w:rFonts w:ascii="Arial" w:hAnsi="Arial" w:cs="Arial"/>
              </w:rPr>
            </w:pPr>
          </w:p>
        </w:tc>
        <w:tc>
          <w:tcPr>
            <w:tcW w:w="818" w:type="dxa"/>
          </w:tcPr>
          <w:p w:rsidR="00DD1225" w:rsidRPr="00A6502A" w:rsidRDefault="00DD1225" w:rsidP="00A6502A">
            <w:pPr>
              <w:spacing w:line="360" w:lineRule="auto"/>
              <w:jc w:val="center"/>
              <w:rPr>
                <w:rFonts w:ascii="Arial" w:hAnsi="Arial" w:cs="Arial"/>
              </w:rPr>
            </w:pPr>
          </w:p>
        </w:tc>
        <w:tc>
          <w:tcPr>
            <w:tcW w:w="1783" w:type="dxa"/>
          </w:tcPr>
          <w:p w:rsidR="00DD1225" w:rsidRPr="00A6502A" w:rsidRDefault="00DD1225" w:rsidP="00A6502A">
            <w:pPr>
              <w:spacing w:line="360" w:lineRule="auto"/>
              <w:jc w:val="center"/>
              <w:rPr>
                <w:rFonts w:ascii="Arial" w:hAnsi="Arial" w:cs="Arial"/>
              </w:rPr>
            </w:pPr>
            <w:r w:rsidRPr="00A6502A">
              <w:rPr>
                <w:rFonts w:ascii="Arial" w:hAnsi="Arial" w:cs="Arial"/>
              </w:rPr>
              <w:t>6961,69</w:t>
            </w:r>
          </w:p>
        </w:tc>
      </w:tr>
    </w:tbl>
    <w:p w:rsidR="00DD1225" w:rsidRPr="00D225AF" w:rsidRDefault="00DD1225" w:rsidP="00DD1225">
      <w:pPr>
        <w:spacing w:line="360" w:lineRule="auto"/>
        <w:ind w:firstLine="720"/>
        <w:jc w:val="center"/>
        <w:rPr>
          <w:rFonts w:ascii="Arial" w:hAnsi="Arial" w:cs="Arial"/>
          <w:b/>
          <w:sz w:val="28"/>
          <w:szCs w:val="28"/>
        </w:rPr>
      </w:pPr>
    </w:p>
    <w:p w:rsidR="00DD1225" w:rsidRDefault="00DD1225" w:rsidP="00DD1225">
      <w:pPr>
        <w:spacing w:line="360" w:lineRule="auto"/>
        <w:ind w:firstLine="720"/>
        <w:jc w:val="both"/>
        <w:rPr>
          <w:rFonts w:ascii="Arial" w:hAnsi="Arial" w:cs="Arial"/>
          <w:sz w:val="28"/>
          <w:szCs w:val="28"/>
        </w:rPr>
      </w:pPr>
      <w:r>
        <w:rPr>
          <w:rFonts w:ascii="Arial" w:hAnsi="Arial" w:cs="Arial"/>
          <w:sz w:val="28"/>
          <w:szCs w:val="28"/>
        </w:rPr>
        <w:t>Проект эффективен, так как превышение величины дисконтированного дохода над инвестиционными затратами составляет 3296,89 тыс. грн. (6961,69 – (3449,2 – 215,6)).</w:t>
      </w:r>
    </w:p>
    <w:p w:rsidR="00DD1225" w:rsidRDefault="00DD1225" w:rsidP="00DD1225">
      <w:pPr>
        <w:spacing w:line="360" w:lineRule="auto"/>
        <w:ind w:firstLine="720"/>
        <w:jc w:val="center"/>
        <w:rPr>
          <w:rFonts w:ascii="Arial" w:hAnsi="Arial" w:cs="Arial"/>
          <w:sz w:val="28"/>
          <w:szCs w:val="28"/>
        </w:rPr>
      </w:pPr>
      <w:r>
        <w:rPr>
          <w:rFonts w:ascii="Arial" w:hAnsi="Arial" w:cs="Arial"/>
          <w:sz w:val="28"/>
          <w:szCs w:val="28"/>
        </w:rPr>
        <w:t>Необходимо подсчитать полную сумму необходимых инвестиций:</w:t>
      </w:r>
    </w:p>
    <w:p w:rsidR="00DD1225" w:rsidRDefault="00DD1225" w:rsidP="00DD1225">
      <w:pPr>
        <w:numPr>
          <w:ilvl w:val="0"/>
          <w:numId w:val="1"/>
        </w:numPr>
        <w:tabs>
          <w:tab w:val="num" w:pos="360"/>
        </w:tabs>
        <w:spacing w:line="360" w:lineRule="auto"/>
        <w:ind w:left="0" w:firstLine="0"/>
        <w:jc w:val="both"/>
        <w:rPr>
          <w:rFonts w:ascii="Arial" w:hAnsi="Arial" w:cs="Arial"/>
          <w:sz w:val="28"/>
          <w:szCs w:val="28"/>
        </w:rPr>
      </w:pPr>
      <w:r>
        <w:rPr>
          <w:rFonts w:ascii="Arial" w:hAnsi="Arial" w:cs="Arial"/>
          <w:sz w:val="28"/>
          <w:szCs w:val="28"/>
        </w:rPr>
        <w:t>на внесение удобрений:</w:t>
      </w:r>
    </w:p>
    <w:p w:rsidR="00DD1225" w:rsidRDefault="00DD1225" w:rsidP="00DD1225">
      <w:pPr>
        <w:spacing w:line="360" w:lineRule="auto"/>
        <w:ind w:left="708"/>
        <w:jc w:val="both"/>
        <w:rPr>
          <w:rFonts w:ascii="Arial" w:hAnsi="Arial" w:cs="Arial"/>
          <w:sz w:val="28"/>
          <w:szCs w:val="28"/>
        </w:rPr>
      </w:pPr>
      <w:r w:rsidRPr="00D554D3">
        <w:rPr>
          <w:rFonts w:ascii="Arial" w:hAnsi="Arial" w:cs="Arial"/>
          <w:sz w:val="28"/>
          <w:szCs w:val="28"/>
        </w:rPr>
        <w:t>Нитроамофос</w:t>
      </w:r>
      <w:r>
        <w:rPr>
          <w:rFonts w:ascii="Arial" w:hAnsi="Arial" w:cs="Arial"/>
          <w:sz w:val="28"/>
          <w:szCs w:val="28"/>
        </w:rPr>
        <w:t>: за 69,3 т необходимого удобрения по цене 1200 грн. за тонну – 83 160 грн.;</w:t>
      </w:r>
    </w:p>
    <w:p w:rsidR="00DD1225" w:rsidRDefault="00DD1225" w:rsidP="00DD1225">
      <w:pPr>
        <w:spacing w:line="360" w:lineRule="auto"/>
        <w:ind w:left="708"/>
        <w:jc w:val="both"/>
        <w:rPr>
          <w:rFonts w:ascii="Arial" w:hAnsi="Arial" w:cs="Arial"/>
          <w:sz w:val="28"/>
          <w:szCs w:val="28"/>
        </w:rPr>
      </w:pPr>
      <w:r>
        <w:rPr>
          <w:rFonts w:ascii="Arial" w:hAnsi="Arial" w:cs="Arial"/>
          <w:sz w:val="28"/>
          <w:szCs w:val="28"/>
        </w:rPr>
        <w:t xml:space="preserve">Калийной селитры: за 47,52 т необходимого удобрения по цене 700 грн. за тонну -33 264 грн. </w:t>
      </w:r>
    </w:p>
    <w:p w:rsidR="00DD1225" w:rsidRDefault="00DD1225" w:rsidP="00DD1225">
      <w:pPr>
        <w:spacing w:line="360" w:lineRule="auto"/>
        <w:ind w:left="708" w:firstLine="708"/>
        <w:jc w:val="both"/>
        <w:rPr>
          <w:rFonts w:ascii="Arial" w:hAnsi="Arial" w:cs="Arial"/>
          <w:sz w:val="28"/>
          <w:szCs w:val="28"/>
        </w:rPr>
      </w:pPr>
      <w:r>
        <w:rPr>
          <w:rFonts w:ascii="Arial" w:hAnsi="Arial" w:cs="Arial"/>
          <w:sz w:val="28"/>
          <w:szCs w:val="28"/>
        </w:rPr>
        <w:t>Следовательно, на внесение удобрений необходимо дополнительно выделить 116 424 грн.</w:t>
      </w:r>
    </w:p>
    <w:p w:rsidR="00DD1225" w:rsidRDefault="00DD1225" w:rsidP="00DD1225">
      <w:pPr>
        <w:numPr>
          <w:ilvl w:val="0"/>
          <w:numId w:val="1"/>
        </w:numPr>
        <w:tabs>
          <w:tab w:val="num" w:pos="360"/>
        </w:tabs>
        <w:spacing w:line="360" w:lineRule="auto"/>
        <w:ind w:left="0" w:firstLine="0"/>
        <w:jc w:val="both"/>
        <w:rPr>
          <w:rFonts w:ascii="Arial" w:hAnsi="Arial" w:cs="Arial"/>
          <w:sz w:val="28"/>
          <w:szCs w:val="28"/>
        </w:rPr>
      </w:pPr>
      <w:r>
        <w:rPr>
          <w:rFonts w:ascii="Arial" w:hAnsi="Arial" w:cs="Arial"/>
          <w:sz w:val="28"/>
          <w:szCs w:val="28"/>
        </w:rPr>
        <w:t xml:space="preserve">для подготовки семян для высева, дальнейшей обработки и хранения: </w:t>
      </w:r>
    </w:p>
    <w:p w:rsidR="00DD1225" w:rsidRDefault="00DD1225" w:rsidP="00DD1225">
      <w:pPr>
        <w:spacing w:line="360" w:lineRule="auto"/>
        <w:ind w:firstLine="708"/>
        <w:jc w:val="both"/>
        <w:rPr>
          <w:rFonts w:ascii="Arial" w:hAnsi="Arial" w:cs="Arial"/>
          <w:sz w:val="28"/>
          <w:szCs w:val="28"/>
        </w:rPr>
      </w:pPr>
      <w:r>
        <w:rPr>
          <w:rFonts w:ascii="Arial" w:hAnsi="Arial" w:cs="Arial"/>
          <w:sz w:val="28"/>
          <w:szCs w:val="28"/>
        </w:rPr>
        <w:t>для пшеницы: необходимо привлечь инвестиции на сумму 9920 грн.;</w:t>
      </w:r>
    </w:p>
    <w:p w:rsidR="00DD1225" w:rsidRDefault="00DD1225" w:rsidP="00DD1225">
      <w:pPr>
        <w:spacing w:line="360" w:lineRule="auto"/>
        <w:ind w:left="708"/>
        <w:jc w:val="both"/>
        <w:rPr>
          <w:rFonts w:ascii="Arial" w:hAnsi="Arial" w:cs="Arial"/>
          <w:sz w:val="28"/>
          <w:szCs w:val="28"/>
        </w:rPr>
      </w:pPr>
      <w:r>
        <w:rPr>
          <w:rFonts w:ascii="Arial" w:hAnsi="Arial" w:cs="Arial"/>
          <w:sz w:val="28"/>
          <w:szCs w:val="28"/>
        </w:rPr>
        <w:t>для ячменя: необходимо привлечь инвестиции на сумму 4860 грн.</w:t>
      </w:r>
    </w:p>
    <w:p w:rsidR="00DD1225" w:rsidRDefault="00DD1225" w:rsidP="00DD1225">
      <w:pPr>
        <w:spacing w:line="360" w:lineRule="auto"/>
        <w:ind w:left="708" w:firstLine="702"/>
        <w:jc w:val="both"/>
        <w:rPr>
          <w:rFonts w:ascii="Arial" w:hAnsi="Arial" w:cs="Arial"/>
          <w:sz w:val="28"/>
          <w:szCs w:val="28"/>
        </w:rPr>
      </w:pPr>
      <w:r>
        <w:rPr>
          <w:rFonts w:ascii="Arial" w:hAnsi="Arial" w:cs="Arial"/>
          <w:sz w:val="28"/>
          <w:szCs w:val="28"/>
        </w:rPr>
        <w:t xml:space="preserve">Следовательно, на подготовку, обработку и хранение семян для высева дополнительно необходимо выделить 14 780 грн. </w:t>
      </w:r>
    </w:p>
    <w:p w:rsidR="00DD1225" w:rsidRDefault="00DD1225" w:rsidP="00DD1225">
      <w:pPr>
        <w:spacing w:line="360" w:lineRule="auto"/>
        <w:ind w:firstLine="720"/>
        <w:jc w:val="both"/>
        <w:rPr>
          <w:rFonts w:ascii="Arial" w:hAnsi="Arial" w:cs="Arial"/>
          <w:sz w:val="28"/>
          <w:szCs w:val="28"/>
        </w:rPr>
      </w:pPr>
    </w:p>
    <w:p w:rsidR="00DD1225" w:rsidRDefault="00DD1225" w:rsidP="00DD1225">
      <w:pPr>
        <w:spacing w:line="360" w:lineRule="auto"/>
        <w:ind w:firstLine="720"/>
        <w:jc w:val="both"/>
        <w:rPr>
          <w:rFonts w:ascii="Arial" w:hAnsi="Arial" w:cs="Arial"/>
          <w:sz w:val="28"/>
          <w:szCs w:val="28"/>
        </w:rPr>
      </w:pPr>
      <w:r>
        <w:rPr>
          <w:rFonts w:ascii="Arial" w:hAnsi="Arial" w:cs="Arial"/>
          <w:sz w:val="28"/>
          <w:szCs w:val="28"/>
        </w:rPr>
        <w:t>Общий итог по необходимым инвестициям составляет приблизительно 131204 грн.</w:t>
      </w:r>
    </w:p>
    <w:p w:rsidR="00DD1225" w:rsidRPr="00CD324D" w:rsidRDefault="00DD1225" w:rsidP="00DD1225">
      <w:pPr>
        <w:spacing w:line="360" w:lineRule="auto"/>
        <w:ind w:firstLine="708"/>
        <w:jc w:val="both"/>
      </w:pPr>
      <w:r w:rsidRPr="00CD324D">
        <w:rPr>
          <w:rFonts w:ascii="Arial" w:hAnsi="Arial" w:cs="Arial"/>
          <w:sz w:val="28"/>
          <w:szCs w:val="28"/>
        </w:rPr>
        <w:t>В нынешних условиях предприятие может взять кредит</w:t>
      </w:r>
      <w:r>
        <w:rPr>
          <w:rFonts w:ascii="Arial" w:hAnsi="Arial" w:cs="Arial"/>
          <w:sz w:val="28"/>
          <w:szCs w:val="28"/>
        </w:rPr>
        <w:t xml:space="preserve"> в банке на недостающую сумму. Таким банком для этого предприятия может выступить АКПБ «Приватбанк», так как именно в этом банке открыт текущий счет данного предприятия, через него осуществляется порядок выдачи заработной платы и отчисления в фонды социального страхования и пенсионный фонд. С этим банком данное предприятие осуществляет длительное сотрудничество, поэтому процесс взятия кредита может осуществляться на более мягких основах, чем у других финансово-кредитных учреждениях. Причем это предприятия в условиях увеличения прибыли от использования данных удобрений сможет покрыть кредит на недостающую сумму за 1,5 - 2 года, в зависимости от изменения условий рынка сельскохозяйственной продукции.</w:t>
      </w:r>
    </w:p>
    <w:p w:rsidR="00DD1225" w:rsidRDefault="00DD1225" w:rsidP="00DD1225">
      <w:pPr>
        <w:spacing w:line="360" w:lineRule="auto"/>
        <w:ind w:firstLine="708"/>
        <w:jc w:val="both"/>
        <w:rPr>
          <w:rFonts w:ascii="Arial" w:hAnsi="Arial" w:cs="Arial"/>
          <w:sz w:val="28"/>
          <w:szCs w:val="28"/>
        </w:rPr>
      </w:pPr>
      <w:r>
        <w:rPr>
          <w:rFonts w:ascii="Arial" w:hAnsi="Arial" w:cs="Arial"/>
          <w:sz w:val="28"/>
          <w:szCs w:val="28"/>
        </w:rPr>
        <w:t xml:space="preserve">Кроме того, в Украине финансово-кредитной политикой страны предполагается предоставление системы сельскохозяйственных дотаций государственным предприятиям, однако это есть ряд причин, по которым предприятие не может получить дотацию – это уровень рентабельности предприятия  и доходность предприятия. Хотя эта мера возможна с точки зрения стимулирующего характера финансово-кредитной политики государства  в области сельского хозяйства, предусматривающая систему помощи по проведению мер улучшения экономического состояния земли (система питания полезными веществами, внесение удобрений и гербицидов). Но для привлечения государственных дотаций необходимо собрать пакет документов, подтверждающих экономическое состояние предприятия и целевое назначение дотации, да и получение дотации длительный процесс, а вышеуказанные меры требуют незамедлительного решения. </w:t>
      </w:r>
    </w:p>
    <w:p w:rsidR="00DD1225" w:rsidRDefault="00DD1225" w:rsidP="00DD1225">
      <w:pPr>
        <w:spacing w:line="360" w:lineRule="auto"/>
        <w:jc w:val="both"/>
        <w:rPr>
          <w:rFonts w:ascii="Arial" w:hAnsi="Arial" w:cs="Arial"/>
          <w:sz w:val="28"/>
          <w:szCs w:val="28"/>
        </w:rPr>
      </w:pPr>
      <w:r w:rsidRPr="00CD324D">
        <w:rPr>
          <w:rFonts w:ascii="Arial" w:hAnsi="Arial" w:cs="Arial"/>
          <w:sz w:val="28"/>
          <w:szCs w:val="28"/>
        </w:rPr>
        <w:tab/>
      </w:r>
      <w:r>
        <w:rPr>
          <w:rFonts w:ascii="Arial" w:hAnsi="Arial" w:cs="Arial"/>
          <w:sz w:val="28"/>
          <w:szCs w:val="28"/>
        </w:rPr>
        <w:t xml:space="preserve">Таким образом, осуществление системы агротехнических  мероприятий по улучшению качества продукции возможно лишь при привлечении инвестиций в данное предприятие, так как получаемая прибыль не может покрыть всех затрат на проведение этих мероприятий. </w:t>
      </w:r>
      <w:bookmarkStart w:id="0" w:name="_GoBack"/>
      <w:bookmarkEnd w:id="0"/>
    </w:p>
    <w:sectPr w:rsidR="00DD1225" w:rsidSect="004D48BD">
      <w:footerReference w:type="even" r:id="rId7"/>
      <w:footerReference w:type="default" r:id="rId8"/>
      <w:pgSz w:w="11906" w:h="16838"/>
      <w:pgMar w:top="1134" w:right="850" w:bottom="1134" w:left="1260" w:header="708" w:footer="708" w:gutter="0"/>
      <w:pgNumType w:start="2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02A" w:rsidRDefault="00A6502A">
      <w:r>
        <w:separator/>
      </w:r>
    </w:p>
  </w:endnote>
  <w:endnote w:type="continuationSeparator" w:id="0">
    <w:p w:rsidR="00A6502A" w:rsidRDefault="00A6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8BD" w:rsidRDefault="004D48BD" w:rsidP="0033254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8BD" w:rsidRDefault="004D48B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8BD" w:rsidRDefault="004D48BD" w:rsidP="0033254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00248">
      <w:rPr>
        <w:rStyle w:val="a5"/>
        <w:noProof/>
      </w:rPr>
      <w:t>27</w:t>
    </w:r>
    <w:r>
      <w:rPr>
        <w:rStyle w:val="a5"/>
      </w:rPr>
      <w:fldChar w:fldCharType="end"/>
    </w:r>
  </w:p>
  <w:p w:rsidR="004D48BD" w:rsidRDefault="004D48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02A" w:rsidRDefault="00A6502A">
      <w:r>
        <w:separator/>
      </w:r>
    </w:p>
  </w:footnote>
  <w:footnote w:type="continuationSeparator" w:id="0">
    <w:p w:rsidR="00A6502A" w:rsidRDefault="00A65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13223"/>
    <w:multiLevelType w:val="hybridMultilevel"/>
    <w:tmpl w:val="E86E6606"/>
    <w:lvl w:ilvl="0" w:tplc="04190001">
      <w:start w:val="1"/>
      <w:numFmt w:val="bullet"/>
      <w:lvlText w:val=""/>
      <w:lvlJc w:val="left"/>
      <w:pPr>
        <w:tabs>
          <w:tab w:val="num" w:pos="2148"/>
        </w:tabs>
        <w:ind w:left="2148" w:hanging="360"/>
      </w:pPr>
      <w:rPr>
        <w:rFonts w:ascii="Symbol" w:hAnsi="Symbol" w:hint="default"/>
      </w:rPr>
    </w:lvl>
    <w:lvl w:ilvl="1" w:tplc="04190003" w:tentative="1">
      <w:start w:val="1"/>
      <w:numFmt w:val="bullet"/>
      <w:lvlText w:val="o"/>
      <w:lvlJc w:val="left"/>
      <w:pPr>
        <w:tabs>
          <w:tab w:val="num" w:pos="2868"/>
        </w:tabs>
        <w:ind w:left="2868" w:hanging="360"/>
      </w:pPr>
      <w:rPr>
        <w:rFonts w:ascii="Courier New" w:hAnsi="Courier New" w:cs="Courier New" w:hint="default"/>
      </w:rPr>
    </w:lvl>
    <w:lvl w:ilvl="2" w:tplc="04190005" w:tentative="1">
      <w:start w:val="1"/>
      <w:numFmt w:val="bullet"/>
      <w:lvlText w:val=""/>
      <w:lvlJc w:val="left"/>
      <w:pPr>
        <w:tabs>
          <w:tab w:val="num" w:pos="3588"/>
        </w:tabs>
        <w:ind w:left="3588" w:hanging="360"/>
      </w:pPr>
      <w:rPr>
        <w:rFonts w:ascii="Wingdings" w:hAnsi="Wingdings" w:hint="default"/>
      </w:rPr>
    </w:lvl>
    <w:lvl w:ilvl="3" w:tplc="04190001" w:tentative="1">
      <w:start w:val="1"/>
      <w:numFmt w:val="bullet"/>
      <w:lvlText w:val=""/>
      <w:lvlJc w:val="left"/>
      <w:pPr>
        <w:tabs>
          <w:tab w:val="num" w:pos="4308"/>
        </w:tabs>
        <w:ind w:left="4308" w:hanging="360"/>
      </w:pPr>
      <w:rPr>
        <w:rFonts w:ascii="Symbol" w:hAnsi="Symbol" w:hint="default"/>
      </w:rPr>
    </w:lvl>
    <w:lvl w:ilvl="4" w:tplc="04190003" w:tentative="1">
      <w:start w:val="1"/>
      <w:numFmt w:val="bullet"/>
      <w:lvlText w:val="o"/>
      <w:lvlJc w:val="left"/>
      <w:pPr>
        <w:tabs>
          <w:tab w:val="num" w:pos="5028"/>
        </w:tabs>
        <w:ind w:left="5028" w:hanging="360"/>
      </w:pPr>
      <w:rPr>
        <w:rFonts w:ascii="Courier New" w:hAnsi="Courier New" w:cs="Courier New" w:hint="default"/>
      </w:rPr>
    </w:lvl>
    <w:lvl w:ilvl="5" w:tplc="04190005" w:tentative="1">
      <w:start w:val="1"/>
      <w:numFmt w:val="bullet"/>
      <w:lvlText w:val=""/>
      <w:lvlJc w:val="left"/>
      <w:pPr>
        <w:tabs>
          <w:tab w:val="num" w:pos="5748"/>
        </w:tabs>
        <w:ind w:left="5748" w:hanging="360"/>
      </w:pPr>
      <w:rPr>
        <w:rFonts w:ascii="Wingdings" w:hAnsi="Wingdings" w:hint="default"/>
      </w:rPr>
    </w:lvl>
    <w:lvl w:ilvl="6" w:tplc="04190001" w:tentative="1">
      <w:start w:val="1"/>
      <w:numFmt w:val="bullet"/>
      <w:lvlText w:val=""/>
      <w:lvlJc w:val="left"/>
      <w:pPr>
        <w:tabs>
          <w:tab w:val="num" w:pos="6468"/>
        </w:tabs>
        <w:ind w:left="6468" w:hanging="360"/>
      </w:pPr>
      <w:rPr>
        <w:rFonts w:ascii="Symbol" w:hAnsi="Symbol" w:hint="default"/>
      </w:rPr>
    </w:lvl>
    <w:lvl w:ilvl="7" w:tplc="04190003" w:tentative="1">
      <w:start w:val="1"/>
      <w:numFmt w:val="bullet"/>
      <w:lvlText w:val="o"/>
      <w:lvlJc w:val="left"/>
      <w:pPr>
        <w:tabs>
          <w:tab w:val="num" w:pos="7188"/>
        </w:tabs>
        <w:ind w:left="7188" w:hanging="360"/>
      </w:pPr>
      <w:rPr>
        <w:rFonts w:ascii="Courier New" w:hAnsi="Courier New" w:cs="Courier New" w:hint="default"/>
      </w:rPr>
    </w:lvl>
    <w:lvl w:ilvl="8" w:tplc="04190005" w:tentative="1">
      <w:start w:val="1"/>
      <w:numFmt w:val="bullet"/>
      <w:lvlText w:val=""/>
      <w:lvlJc w:val="left"/>
      <w:pPr>
        <w:tabs>
          <w:tab w:val="num" w:pos="7908"/>
        </w:tabs>
        <w:ind w:left="790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225"/>
    <w:rsid w:val="00251815"/>
    <w:rsid w:val="00264E07"/>
    <w:rsid w:val="0033254B"/>
    <w:rsid w:val="004D48BD"/>
    <w:rsid w:val="00521788"/>
    <w:rsid w:val="006C53AA"/>
    <w:rsid w:val="006C6C34"/>
    <w:rsid w:val="00A6502A"/>
    <w:rsid w:val="00AD619F"/>
    <w:rsid w:val="00B00248"/>
    <w:rsid w:val="00B75ADE"/>
    <w:rsid w:val="00C02621"/>
    <w:rsid w:val="00DD1225"/>
    <w:rsid w:val="00E521C8"/>
    <w:rsid w:val="00F10439"/>
    <w:rsid w:val="00F87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B2B1BDF-5A67-4DCA-BE64-EA0CD12A1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22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D1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4D48BD"/>
    <w:pPr>
      <w:tabs>
        <w:tab w:val="center" w:pos="4677"/>
        <w:tab w:val="right" w:pos="9355"/>
      </w:tabs>
    </w:pPr>
  </w:style>
  <w:style w:type="character" w:styleId="a5">
    <w:name w:val="page number"/>
    <w:basedOn w:val="a0"/>
    <w:rsid w:val="004D4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1179</Words>
  <Characters>6722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25 – 30 %, а урожайность на 40 %</vt:lpstr>
    </vt:vector>
  </TitlesOfParts>
  <Company>Хата</Company>
  <LinksUpToDate>false</LinksUpToDate>
  <CharactersWithSpaces>7886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 – 30 %, а урожайность на 40 %</dc:title>
  <dc:subject/>
  <dc:creator>БРАТ</dc:creator>
  <cp:keywords/>
  <dc:description/>
  <cp:lastModifiedBy>Irina</cp:lastModifiedBy>
  <cp:revision>2</cp:revision>
  <dcterms:created xsi:type="dcterms:W3CDTF">2014-08-18T08:30:00Z</dcterms:created>
  <dcterms:modified xsi:type="dcterms:W3CDTF">2014-08-18T08:30:00Z</dcterms:modified>
</cp:coreProperties>
</file>