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70E" w:rsidRDefault="0038570E" w:rsidP="00A6531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5315" w:rsidRPr="00A65315" w:rsidRDefault="00A65315" w:rsidP="00A6531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315">
        <w:rPr>
          <w:rFonts w:ascii="Times New Roman" w:hAnsi="Times New Roman"/>
          <w:b/>
          <w:sz w:val="28"/>
          <w:szCs w:val="28"/>
        </w:rPr>
        <w:t>КОНСОЛИДАЦИЯ В БАНКОВСКОМ СЕКТОРЕ: ФИНАНСОВЫЙ КРИЗИС И НОВОЕ ФИНАНСОВОЕ ЗАКОНОДАТЕЛЬСТВО.</w:t>
      </w:r>
    </w:p>
    <w:p w:rsidR="00A65315" w:rsidRPr="00A65315" w:rsidRDefault="00A65315" w:rsidP="00A6531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315">
        <w:rPr>
          <w:rFonts w:ascii="Times New Roman" w:hAnsi="Times New Roman"/>
          <w:b/>
          <w:sz w:val="28"/>
          <w:szCs w:val="28"/>
        </w:rPr>
        <w:t>Дорохина И.Н.</w:t>
      </w:r>
    </w:p>
    <w:p w:rsidR="00A65315" w:rsidRDefault="00A65315" w:rsidP="00A6531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315">
        <w:rPr>
          <w:rFonts w:ascii="Times New Roman" w:hAnsi="Times New Roman"/>
          <w:b/>
          <w:sz w:val="28"/>
          <w:szCs w:val="28"/>
        </w:rPr>
        <w:t>Научный руководитель: к.э.н., доцент Дышекова А.А</w:t>
      </w:r>
    </w:p>
    <w:p w:rsidR="00A65315" w:rsidRPr="00A65315" w:rsidRDefault="00A65315" w:rsidP="00A6531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 настоящее время российская финансово-банковская система проходит испытание на прочность. В условиях мирового финансового кризиса, обострения кризиса ликвидности и снижения уровня доверия к контрагентам происходит накопление кредитных рисков.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Воздействие внешних шоков</w:t>
      </w:r>
      <w:r w:rsidRPr="00A65315">
        <w:rPr>
          <w:rFonts w:ascii="Times New Roman" w:hAnsi="Times New Roman"/>
          <w:w w:val="108"/>
          <w:sz w:val="28"/>
          <w:szCs w:val="28"/>
        </w:rPr>
        <w:t xml:space="preserve"> </w:t>
      </w:r>
      <w:r w:rsidRPr="00A65315">
        <w:rPr>
          <w:rFonts w:ascii="Times New Roman" w:hAnsi="Times New Roman"/>
          <w:sz w:val="28"/>
          <w:szCs w:val="28"/>
        </w:rPr>
        <w:t>оказало крайне негативное влияние на ситуацию на российском рынке ценных бумаг и характер поведения банков и их клиентов, ударило по темпам роста рынка страхования и таким образом отразилось на динамике деятельности финансовых организаций.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 течение нескольких месяцев уровень капита</w:t>
      </w:r>
      <w:r w:rsidRPr="00A65315">
        <w:rPr>
          <w:rFonts w:ascii="Times New Roman" w:hAnsi="Times New Roman"/>
          <w:sz w:val="28"/>
          <w:szCs w:val="28"/>
        </w:rPr>
        <w:softHyphen/>
        <w:t xml:space="preserve">лизации российских компаний упал почти на 75 </w:t>
      </w:r>
      <w:r w:rsidRPr="00A65315">
        <w:rPr>
          <w:rFonts w:ascii="Times New Roman" w:hAnsi="Times New Roman"/>
          <w:w w:val="89"/>
          <w:sz w:val="28"/>
          <w:szCs w:val="28"/>
        </w:rPr>
        <w:t xml:space="preserve">%. </w:t>
      </w:r>
      <w:r w:rsidRPr="00A65315">
        <w:rPr>
          <w:rFonts w:ascii="Times New Roman" w:hAnsi="Times New Roman"/>
          <w:sz w:val="28"/>
          <w:szCs w:val="28"/>
        </w:rPr>
        <w:t>По итогам первого полугодия текущего года темпы роста практически всех показателей банковского сектора снизились, хотя и продолжают оставаться на уровне выше средних по российской экономике в целом. Временные затруднения с ликвидностью в ряде банков не вызвали «эффекта домино», однако, подорвали уровень доверия внутри банковской системы и привели к остановке рынка межбанковского кредитования. Купирование этой ситуации стало возможным благодаря своевременным действиям Банка России, который, опираясь на новые зако</w:t>
      </w:r>
      <w:r w:rsidRPr="00A65315">
        <w:rPr>
          <w:rFonts w:ascii="Times New Roman" w:hAnsi="Times New Roman"/>
          <w:sz w:val="28"/>
          <w:szCs w:val="28"/>
        </w:rPr>
        <w:softHyphen/>
        <w:t>нодательные возможности, использовал широкий арсенал средств для поддержания уровня ликвидности на достаточном уровне.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На протяжении последних лет российская финансовая система находилась в фазе интенсивного подъема. Так, за период с 2003 по </w:t>
      </w:r>
      <w:smartTag w:uri="urn:schemas-microsoft-com:office:smarttags" w:element="metricconverter">
        <w:smartTagPr>
          <w:attr w:name="ProductID" w:val="2008 г"/>
        </w:smartTagPr>
        <w:r w:rsidRPr="00A65315">
          <w:rPr>
            <w:rFonts w:ascii="Times New Roman" w:hAnsi="Times New Roman"/>
            <w:sz w:val="28"/>
            <w:szCs w:val="28"/>
          </w:rPr>
          <w:t>2008 г</w:t>
        </w:r>
      </w:smartTag>
      <w:r w:rsidRPr="00A65315">
        <w:rPr>
          <w:rFonts w:ascii="Times New Roman" w:hAnsi="Times New Roman"/>
          <w:sz w:val="28"/>
          <w:szCs w:val="28"/>
        </w:rPr>
        <w:t>. совокупные активы коммерческих банков выросли с 4,1 до 20,1 трлн. руб., или в 5 раз, что по мировым меркам можно считать беспрецедентным результатом. Темпы роста финансового сектора заметно опережали динамику практически всех отраслей и сфер российской экономики. Благодаря этому повысилась степень насыщенности нефинансового сектора банковскими услугами. Значительный рост продемонстрировал биржевой срочный рынок (фьючерсы и опционы). Однако это впечатляющее развитие происходило в условиях острого дефицита внутренних долгосрочных финансовых ресурсов.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В структуре активов банковского сектора доминирующее место прочно заняло кредитование нефинансового сектора, в том числе населения, на ссуды которому приходится более 20 </w:t>
      </w:r>
      <w:r w:rsidRPr="00A65315">
        <w:rPr>
          <w:rFonts w:ascii="Times New Roman" w:hAnsi="Times New Roman"/>
          <w:w w:val="81"/>
          <w:sz w:val="28"/>
          <w:szCs w:val="28"/>
        </w:rPr>
        <w:t xml:space="preserve">% </w:t>
      </w:r>
      <w:r w:rsidRPr="00A65315">
        <w:rPr>
          <w:rFonts w:ascii="Times New Roman" w:hAnsi="Times New Roman"/>
          <w:sz w:val="28"/>
          <w:szCs w:val="28"/>
        </w:rPr>
        <w:t>совокупного кредитного портфеля. Ресурсная база коммерческих банков, хотя и характеризуется дефицитом долгосрочных и устойчивых пассивов, тем не менее, становится все более диверсифицированной за счет привлечения средств предприятий и населения. Заметно повысилась в последние годы инвестиционная привлекательность российской банковской системы, что нашло отражение в высоких темпах роста собственных средств и доли нерезидентов в совокупном уставном капитале. Весомую роль в изменении масштабов и структуры финансовой деятельности сыграла и продолжает играть конкурентная среда, побуждающая участников рынка финансовых услуг развивать сеть точек продаж, расширять продуктовые линейки, переходить на высокие стандарты обслуживания клиентов.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По </w:t>
      </w:r>
      <w:r w:rsidRPr="00A65315">
        <w:rPr>
          <w:rFonts w:ascii="Times New Roman" w:hAnsi="Times New Roman"/>
          <w:w w:val="111"/>
          <w:sz w:val="28"/>
          <w:szCs w:val="28"/>
        </w:rPr>
        <w:t xml:space="preserve">сути, </w:t>
      </w:r>
      <w:r w:rsidRPr="00A65315">
        <w:rPr>
          <w:rFonts w:ascii="Times New Roman" w:hAnsi="Times New Roman"/>
          <w:sz w:val="28"/>
          <w:szCs w:val="28"/>
        </w:rPr>
        <w:t>с принятием комплекса антикризисных мер и новых законов Правительство, и Банк России создали в банковском секторе новую конфигурацию, явно не закрепленную в законодательстве о банках и банковской деятельности. Формируются три четко выраженных слоя (группы) кредитных организаций.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Во-первых, выделена группа привилегированных банков с государственным участием. В отношении них многократно звучали высказывания высокопоставленных должностных лиц о безусловной надежности и устойчивости. В нарушение общих принципов равной конкуренции фактически произошло выделение данной группы коммерческих банков в «высшую группу» надежности. Более того, на первом этапе имен</w:t>
      </w:r>
      <w:r w:rsidRPr="00A65315">
        <w:rPr>
          <w:rFonts w:ascii="Times New Roman" w:hAnsi="Times New Roman"/>
          <w:sz w:val="28"/>
          <w:szCs w:val="28"/>
        </w:rPr>
        <w:softHyphen/>
        <w:t xml:space="preserve">но перед </w:t>
      </w:r>
      <w:r w:rsidRPr="00A65315">
        <w:rPr>
          <w:rFonts w:ascii="Times New Roman" w:hAnsi="Times New Roman"/>
          <w:w w:val="111"/>
          <w:sz w:val="28"/>
          <w:szCs w:val="28"/>
        </w:rPr>
        <w:t xml:space="preserve">этими </w:t>
      </w:r>
      <w:r w:rsidRPr="00A65315">
        <w:rPr>
          <w:rFonts w:ascii="Times New Roman" w:hAnsi="Times New Roman"/>
          <w:sz w:val="28"/>
          <w:szCs w:val="28"/>
        </w:rPr>
        <w:t>банками была поставлена задача борьбы с кризисом ликвидности и распределением государственных ресурсов в экономике. Эта задача не была ими выполнена.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Во-вторых, с введением механизма беззалоговых аукционов выделилась группа банков, которые тем самым получили весьма широкий доступ к ликвидности.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В третью группу попали небольшие банки, которые, по сути оказались лишены какой-либо государственной поддержки. Речь идет о почти 700 кредитных организаций (не входящих в банковские группы), которые, как правило, успешно работали и работают на межрегиональном и региональном уровнях. Именно для данной группы банков особенно остро встали проблемы выживания, укрупнения и консолидации.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Условно уже предложенные и обсуждаемые в Правительстве и Парламенте законода</w:t>
      </w:r>
      <w:r w:rsidRPr="00A65315">
        <w:rPr>
          <w:rFonts w:ascii="Times New Roman" w:hAnsi="Times New Roman"/>
          <w:sz w:val="28"/>
          <w:szCs w:val="28"/>
        </w:rPr>
        <w:softHyphen/>
        <w:t>тельные меры можно разделить на пять групп: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1. Формирование и выделение финансовых ресурсов для консолидации.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2. Административное давление на банки в целях понуждения к слиянию и укрупнению.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3. Снятие существующих правовых барьеров для реорганизации и слияния.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4. Меры, направленные на восстановление доверия и решение системных проблем (страхование депозитов, поддержка МБК). Важно не потерять пассивную базу и доверие при консолидации.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5. Общие меры по поддержке банковского сектора. Здесь надо выделить меры по снижению нормативного давления на банки-санаторы.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Механизмы выделения ресурсов для консолидации банковской системы получили закрепление в двух законах: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1) в Законе «О дополнительных мерах по поддержке финансовой системы Российской Федерации», принятом в середине октября;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2) в Законе «О дополнительных мерах для укрепления стабильности банковской системы в период до 31 декабря 2011 года», принятом в конце октября.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Одновременно с первым законом был принят закон о внесении изменений в СТ. 46 Федерального закона </w:t>
      </w:r>
      <w:r w:rsidRPr="00A65315">
        <w:rPr>
          <w:rFonts w:ascii="Times New Roman" w:hAnsi="Times New Roman"/>
          <w:w w:val="73"/>
          <w:sz w:val="28"/>
          <w:szCs w:val="28"/>
        </w:rPr>
        <w:t xml:space="preserve">№ </w:t>
      </w:r>
      <w:r w:rsidRPr="00A65315">
        <w:rPr>
          <w:rFonts w:ascii="Times New Roman" w:hAnsi="Times New Roman"/>
          <w:sz w:val="28"/>
          <w:szCs w:val="28"/>
        </w:rPr>
        <w:t>86-ФЗ «О Центральном банке Российской Федерации (Банке России)».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Нововведения направлены на предоставление дополнительных мер государственной поддержки банкам и компаниям, оказавшимся в сложном финансовом положении в связи с ситуацией на мировых финансовых рынках.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Сегодня, в условиях разворачивания кризиса, основные источники средств для консолидации эмиссия ЦБ и средства государственных фондов.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Основные меры, которые включены в план действий Правительства, направленных на оздоровление ситуации в финансовом секторе и отдельных отраслях экономики, прежде всего в части развития финансовой и банковской системы: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1.Совершенствование процедур реорганизации коммерческих организаций, в том числе кредитных, посредством исключения безусловного права кредиторов на досрочное погашение долга в случае реорганизации.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2.Совершенствование механизмов регулирования несостоятельности небанковских финансовых организаций.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3.Совершенствование залоговых правоотношений в ходе дела о банкротстве, в том числе упрощение механизма обращения взыскания и реализации заложенного имущества за счет введения внесудебного порядка и введение безусловного погашения требований залоговых кредиторов.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4.Расширение возможностей инвестирования средств пенсионных накоплений застрахованных лиц, не воспользовавшихся правом выбора инвес</w:t>
      </w:r>
      <w:r w:rsidRPr="00A65315">
        <w:rPr>
          <w:rFonts w:ascii="Times New Roman" w:hAnsi="Times New Roman"/>
          <w:sz w:val="28"/>
          <w:szCs w:val="28"/>
        </w:rPr>
        <w:softHyphen/>
        <w:t>тиционного портфеля или негосударственного пенсионного фонда.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5.Обеспечение возможности допуска профессиональных участников рынка ценных бумаг к операциям рефинансирования со стороны Банка России с передачей функций надзора и регулирования экономических показателей профессиональных участников Банку России.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6.Снятие ограничений, связанных с размером уставного капитала и стоимостью чистых активов хозяйственных обществ, в целях повышения воз</w:t>
      </w:r>
      <w:r w:rsidRPr="00A65315">
        <w:rPr>
          <w:rFonts w:ascii="Times New Roman" w:hAnsi="Times New Roman"/>
          <w:sz w:val="28"/>
          <w:szCs w:val="28"/>
        </w:rPr>
        <w:softHyphen/>
        <w:t>можностей по привлечению финансирования.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7.Разработка механизмов снижения рисков злоупотреблений со стороны собственников и руководителей организаций в преддверии банкротства и в ходе банкротства. 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8.Введение института депозитарного учета закладных, снижающего издержки при их обращении, в целях упрощения секьюритизации и рефинансирования ипотечных кредитов. </w:t>
      </w:r>
    </w:p>
    <w:p w:rsidR="00A65315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 xml:space="preserve">9.Введение института общего собрания владельцев облигаций как механизма консолидации мнений владельцев облигаций. </w:t>
      </w:r>
    </w:p>
    <w:p w:rsidR="00D24D8D" w:rsidRPr="00A65315" w:rsidRDefault="00A65315" w:rsidP="00A653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65315">
        <w:rPr>
          <w:rFonts w:ascii="Times New Roman" w:hAnsi="Times New Roman"/>
          <w:sz w:val="28"/>
          <w:szCs w:val="28"/>
        </w:rPr>
        <w:t>10.Уточнение условий выпуска биржевых облигаций, в том числе разрешение выпуска биржевых облигаций сроком до 3 лет.</w:t>
      </w:r>
      <w:bookmarkStart w:id="0" w:name="_GoBack"/>
      <w:bookmarkEnd w:id="0"/>
    </w:p>
    <w:sectPr w:rsidR="00D24D8D" w:rsidRPr="00A65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315"/>
    <w:rsid w:val="003443EB"/>
    <w:rsid w:val="0038570E"/>
    <w:rsid w:val="00385DC6"/>
    <w:rsid w:val="003F2E10"/>
    <w:rsid w:val="00A65315"/>
    <w:rsid w:val="00C14405"/>
    <w:rsid w:val="00C81358"/>
    <w:rsid w:val="00D2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7C212-520C-4007-B8BC-6D708829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315"/>
    <w:pPr>
      <w:spacing w:after="200" w:line="276" w:lineRule="auto"/>
      <w:ind w:firstLine="709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A65315"/>
    <w:pPr>
      <w:widowControl w:val="0"/>
      <w:autoSpaceDE w:val="0"/>
      <w:autoSpaceDN w:val="0"/>
      <w:adjustRightInd w:val="0"/>
      <w:ind w:firstLine="709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КОНСОЛИДАЦИЯ В БАНКОВСКОМ СЕКТОРЕ: ФИНАНСОВЫЙ КРИЗИС И НОВОЕ ФИНАНСОВОЕ ЗАКОНОДАТЕЛЬСТВО</vt:lpstr>
    </vt:vector>
  </TitlesOfParts>
  <Company/>
  <LinksUpToDate>false</LinksUpToDate>
  <CharactersWithSpaces>7795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КОНСОЛИДАЦИЯ В БАНКОВСКОМ СЕКТОРЕ: ФИНАНСОВЫЙ КРИЗИС И НОВОЕ ФИНАНСОВОЕ ЗАКОНОДАТЕЛЬСТВО</dc:title>
  <dc:subject/>
  <dc:creator>Niko</dc:creator>
  <cp:keywords/>
  <cp:lastModifiedBy>admin</cp:lastModifiedBy>
  <cp:revision>2</cp:revision>
  <dcterms:created xsi:type="dcterms:W3CDTF">2014-04-11T21:20:00Z</dcterms:created>
  <dcterms:modified xsi:type="dcterms:W3CDTF">2014-04-11T21:20:00Z</dcterms:modified>
</cp:coreProperties>
</file>