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723" w:rsidRDefault="00216723" w:rsidP="0087411B"/>
    <w:p w:rsidR="0087411B" w:rsidRDefault="0087411B" w:rsidP="0087411B">
      <w:r>
        <w:t>Формы и методы финансового контроля</w:t>
      </w:r>
    </w:p>
    <w:p w:rsidR="0087411B" w:rsidRDefault="0087411B" w:rsidP="0087411B"/>
    <w:p w:rsidR="0087411B" w:rsidRDefault="0087411B" w:rsidP="0087411B">
      <w:r>
        <w:t>Успешная реализация контрольных мероприятий зависит от того, насколько они соответствуют сложившейся экономической ситуации, задачам бюджетной политики, структуре объекта контроля. Существуют различные формы финансового контроля, которые можно классифицировать по разным признакам: в зависимости от времени проведения, субъекта (кто осуществляет контроль) и т.п.</w:t>
      </w:r>
    </w:p>
    <w:p w:rsidR="0087411B" w:rsidRDefault="0087411B" w:rsidP="0087411B">
      <w:r>
        <w:t>Финансовый контроль осуществляется на всех этапах бюджетного процесса. В зависимости от периода проведения он классифицируется следующим образом:</w:t>
      </w:r>
    </w:p>
    <w:p w:rsidR="0087411B" w:rsidRDefault="0087411B" w:rsidP="0087411B">
      <w:r>
        <w:t xml:space="preserve">предварительный контроль проводится на этапе составления проекта бюджета, его рассмотрения и утверждения представительным органом власти. Он также осуществляется при составлении смет бюджетополучателей, разработке финансовых законопроектов и др. Специфика предварительного контроля заключается в том, что он носит предупреждающий характер и нацелен на корректировку проекта бюджета до момента его принятия; </w:t>
      </w:r>
    </w:p>
    <w:p w:rsidR="0087411B" w:rsidRDefault="0087411B" w:rsidP="0087411B">
      <w:r>
        <w:t>текущий (оперативный) контроль. Он осуществляется в процессе исполнения бюджета и направлен на обеспечение финансовой дисциплины, соблюдение установленных норм налогообложения и бюджетных ассигнований, выявление и пресечение нарушений в бюджетной сфере. Текущий контроль является наиболее распространенной формой финансового контроля. Его основой является анализ оперативной отчетности об исполнении бюджета и бухгалтерских документов;</w:t>
      </w:r>
    </w:p>
    <w:p w:rsidR="0087411B" w:rsidRDefault="0087411B" w:rsidP="0087411B">
      <w:r>
        <w:t>последующий контроль – это ревизия уже исполненного бюджета, которая проводится по окончании финансового года. Проверке подлежит исполнение плановых показателей по каждой статье доходов и расходов, определенной законом о бюджете, а также исполнение смет бюджетных учреждений. Анализируются эффективность и целесообразность произведенных расходов, полнота и своевременность зачисления доходов по отдельным источникам, причины отклонения фактических показателей от бюджетного плана. Результаты такого анализа служат основой для составления проекта бюджета на очередной год, поэтому последующий и предварительный контроль тесно взаимосвязаны.</w:t>
      </w:r>
    </w:p>
    <w:p w:rsidR="0087411B" w:rsidRDefault="0087411B" w:rsidP="0087411B"/>
    <w:p w:rsidR="0087411B" w:rsidRDefault="0087411B" w:rsidP="0087411B"/>
    <w:p w:rsidR="00B97C89" w:rsidRDefault="0087411B" w:rsidP="0087411B">
      <w:r>
        <w:t>Субъекты контроля мог</w:t>
      </w:r>
    </w:p>
    <w:p w:rsidR="00940273" w:rsidRDefault="00940273" w:rsidP="0087411B"/>
    <w:p w:rsidR="00940273" w:rsidRDefault="00940273" w:rsidP="00940273">
      <w:r>
        <w:t xml:space="preserve">По методам проведения финансовый контроль делится на: проверки; обследования; анализ; ревизии. </w:t>
      </w:r>
    </w:p>
    <w:p w:rsidR="00940273" w:rsidRDefault="00940273" w:rsidP="00940273">
      <w:r>
        <w:t xml:space="preserve">Проверки проводятся по отдельным вопросам (например, выплаты премий). </w:t>
      </w:r>
    </w:p>
    <w:p w:rsidR="00940273" w:rsidRDefault="00940273" w:rsidP="00940273">
      <w:r>
        <w:t xml:space="preserve">Обследование охватывает более широкий спектр деятельности для принятия определенных решений. Для обследования используются анкетирование, тесты, собеседования. </w:t>
      </w:r>
    </w:p>
    <w:p w:rsidR="00940273" w:rsidRDefault="00940273" w:rsidP="00940273">
      <w:r>
        <w:t xml:space="preserve">Анализ используется как метод финансового контроля и может быть представлен по отдельным факторам, направлениям, периодам времени. </w:t>
      </w:r>
    </w:p>
    <w:p w:rsidR="00940273" w:rsidRDefault="00940273" w:rsidP="00940273">
      <w:r>
        <w:t xml:space="preserve">Ревизии - обширные и комплексные проверки всей финансовой деятельности за год. Для проведения ревизий  составляется программа, где существует цель, тематика, объекты и основные вопросы ревизионной проверки. После этого следует заключение, где отмечаются плюсы, минусы, накладываемые штрафы и т. д. </w:t>
      </w:r>
    </w:p>
    <w:p w:rsidR="00940273" w:rsidRDefault="00940273" w:rsidP="00940273">
      <w:r>
        <w:t xml:space="preserve">В качестве примера можно рассмотреть контрольную работу налоговой инспекции по городу Москве. </w:t>
      </w:r>
    </w:p>
    <w:p w:rsidR="00940273" w:rsidRDefault="00940273" w:rsidP="00940273">
      <w:r>
        <w:t>В 1994 году было доначислено налогов на 83 млрд. руб. (200 тыс. $). Более половины - налог на прибыль. Также обнаружено, что 814 предприятий имело от 2 до 12 расчетных счетов, из которых только один был известен налоговой полиции. С другой стороны, имеются данные о нечеткой работе самих налоговых служб, которые вносили сумятицу в расчеты по налогам, например, налог на прибыль:</w:t>
      </w:r>
    </w:p>
    <w:p w:rsidR="00940273" w:rsidRDefault="00940273" w:rsidP="00940273"/>
    <w:p w:rsidR="00940273" w:rsidRDefault="00940273" w:rsidP="00940273">
      <w:r>
        <w:t xml:space="preserve">1 квартал - ставка 35 %. </w:t>
      </w:r>
    </w:p>
    <w:p w:rsidR="00940273" w:rsidRDefault="00940273" w:rsidP="00940273"/>
    <w:p w:rsidR="00940273" w:rsidRDefault="00940273" w:rsidP="00940273">
      <w:r>
        <w:t xml:space="preserve">2 квартал - ставка 38 %. </w:t>
      </w:r>
    </w:p>
    <w:p w:rsidR="00940273" w:rsidRDefault="00940273" w:rsidP="00940273"/>
    <w:p w:rsidR="00940273" w:rsidRDefault="00940273" w:rsidP="00940273">
      <w:r>
        <w:t>3 квартал - ставка 35 %.</w:t>
      </w:r>
    </w:p>
    <w:p w:rsidR="00101B17" w:rsidRDefault="00101B17" w:rsidP="0002712D"/>
    <w:p w:rsidR="0002712D" w:rsidRDefault="0002712D" w:rsidP="0002712D">
      <w:r>
        <w:t>Управление дебиторской задолженностью — отдельная функция финансового менеджмента, основной целью которой является увеличение прибыли компании за счёт эффективного использования дебиторской задолженности, как экономического инструмента.</w:t>
      </w:r>
    </w:p>
    <w:p w:rsidR="0002712D" w:rsidRDefault="0002712D" w:rsidP="0002712D">
      <w:r>
        <w:t>[править]</w:t>
      </w:r>
    </w:p>
    <w:p w:rsidR="0002712D" w:rsidRDefault="0002712D" w:rsidP="0002712D">
      <w:r>
        <w:t>Основные задачи</w:t>
      </w:r>
    </w:p>
    <w:p w:rsidR="0002712D" w:rsidRDefault="0002712D" w:rsidP="0002712D">
      <w:r>
        <w:t>комплексная проверка дебитора на начальном этапе</w:t>
      </w:r>
    </w:p>
    <w:p w:rsidR="0002712D" w:rsidRDefault="0002712D" w:rsidP="0002712D">
      <w:r>
        <w:t>юридическое сопровождение сделок</w:t>
      </w:r>
    </w:p>
    <w:p w:rsidR="0002712D" w:rsidRDefault="0002712D" w:rsidP="0002712D">
      <w:r>
        <w:t>финансирование дебиторской задолженности</w:t>
      </w:r>
    </w:p>
    <w:p w:rsidR="0002712D" w:rsidRDefault="0002712D" w:rsidP="0002712D">
      <w:r>
        <w:t>учет, контроль, оценка эффективности дебиторской задолженности</w:t>
      </w:r>
    </w:p>
    <w:p w:rsidR="0002712D" w:rsidRDefault="0002712D" w:rsidP="0002712D">
      <w:r>
        <w:t>взыскание просроченного долга</w:t>
      </w:r>
    </w:p>
    <w:p w:rsidR="0002712D" w:rsidRDefault="0002712D" w:rsidP="0002712D">
      <w:r>
        <w:t>претензионная работа с недисциплинированными дебиторами</w:t>
      </w:r>
    </w:p>
    <w:p w:rsidR="0002712D" w:rsidRDefault="0002712D" w:rsidP="0002712D">
      <w:r>
        <w:t>[править]</w:t>
      </w:r>
    </w:p>
    <w:p w:rsidR="0002712D" w:rsidRDefault="0002712D" w:rsidP="0002712D">
      <w:r>
        <w:t>Функции</w:t>
      </w:r>
    </w:p>
    <w:p w:rsidR="0002712D" w:rsidRDefault="0002712D" w:rsidP="0002712D">
      <w:r>
        <w:t>планирование (определение финансовых и управленческих целей)</w:t>
      </w:r>
    </w:p>
    <w:p w:rsidR="0002712D" w:rsidRDefault="0002712D" w:rsidP="0002712D">
      <w:r>
        <w:t>организационная функция (обеспечение выполнения запланированных целей)</w:t>
      </w:r>
    </w:p>
    <w:p w:rsidR="0002712D" w:rsidRDefault="0002712D" w:rsidP="0002712D">
      <w:r>
        <w:t>мотивирование (утверждение системы мотивации для сотрудников участвующих в процессе управления дебиторской задолженностью)</w:t>
      </w:r>
    </w:p>
    <w:p w:rsidR="0002712D" w:rsidRDefault="0002712D" w:rsidP="0002712D">
      <w:r>
        <w:t>контроль</w:t>
      </w:r>
    </w:p>
    <w:p w:rsidR="0002712D" w:rsidRDefault="0002712D" w:rsidP="0002712D">
      <w:r>
        <w:t>анализ результатов и обратная связь</w:t>
      </w:r>
    </w:p>
    <w:p w:rsidR="0002712D" w:rsidRDefault="0002712D" w:rsidP="0002712D">
      <w:r>
        <w:t>[править]</w:t>
      </w:r>
    </w:p>
    <w:p w:rsidR="0002712D" w:rsidRDefault="0002712D" w:rsidP="0002712D">
      <w:r>
        <w:t>Участники</w:t>
      </w:r>
    </w:p>
    <w:p w:rsidR="0002712D" w:rsidRDefault="0002712D" w:rsidP="0002712D">
      <w:r>
        <w:t>В современной экономике управление дебиторской задолженностью давно вышло за пределы функций только лишь финансового менеджмента. В современной коммерческой организации в процессе управления задействованы следующие лица и структурные подразделения:</w:t>
      </w:r>
    </w:p>
    <w:p w:rsidR="0002712D" w:rsidRDefault="0002712D" w:rsidP="0002712D">
      <w:r>
        <w:t>Генеральный директор</w:t>
      </w:r>
    </w:p>
    <w:p w:rsidR="0002712D" w:rsidRDefault="0002712D" w:rsidP="0002712D">
      <w:r>
        <w:t>Коммерческий отдел и отдел продаж (коммерческий директор, руководитель отдела продаж, менеджеры по продажам)</w:t>
      </w:r>
    </w:p>
    <w:p w:rsidR="0002712D" w:rsidRDefault="0002712D" w:rsidP="0002712D">
      <w:r>
        <w:t>Финансовый отдел (финансовый директор, финансовый менеджер)</w:t>
      </w:r>
    </w:p>
    <w:p w:rsidR="0002712D" w:rsidRDefault="0002712D" w:rsidP="0002712D">
      <w:r>
        <w:t>Юридический отдел и служба безопасности</w:t>
      </w:r>
    </w:p>
    <w:p w:rsidR="0002712D" w:rsidRDefault="0002712D" w:rsidP="0002712D">
      <w:r>
        <w:t>Проблема ликвидности дебиторской задолженности – становится ключевой проблемой почти каждой организации. Она, в свою очередь, расчленяется на несколько проблем: оптимальный объем, оборачиваемость, качество дебиторской задолженности.</w:t>
      </w:r>
    </w:p>
    <w:p w:rsidR="0002712D" w:rsidRDefault="0002712D" w:rsidP="0002712D">
      <w:r>
        <w:t>Решение этих проблем требует квалифицированного управления дебиторской задолженностью, что является одним из видов укрепления финансового положения фирмы. Опыт реформирования предприятий показывает, что меры по возврату дебиторской задолженности входят в группу наиболее действенных мер повышения эффективности за счет внутренних резервов предприятия и могут быстро принести положительный результат. Возврат задолженности в сжатые сроки – реальная возможность пополнения дефицитных оборотных средств. Управление дебиторской задолженностью может быть отождествлено с любым другим видом управления как процесс реализации специфических управленческих функций: планирования, организации, мотивации и контроля.</w:t>
      </w:r>
    </w:p>
    <w:p w:rsidR="0002712D" w:rsidRDefault="0002712D" w:rsidP="0002712D">
      <w:r>
        <w:t>Планирование – это предварительные финансовые решения. Чтобы оно было эффективным, необходимо: определить долгосрочную цель организации, сформулировать стратегию организации, определить политику действий, выбрать рациональные процедуры действий.</w:t>
      </w:r>
    </w:p>
    <w:p w:rsidR="00707609" w:rsidRDefault="00707609" w:rsidP="0002712D"/>
    <w:p w:rsidR="00707609" w:rsidRDefault="00707609" w:rsidP="0002712D"/>
    <w:p w:rsidR="00707609" w:rsidRDefault="00707609" w:rsidP="00707609">
      <w:r>
        <w:t>Счет Бухгалтерского Учета 90 Краткосрочные Кредиты Банков</w:t>
      </w:r>
    </w:p>
    <w:p w:rsidR="00707609" w:rsidRDefault="00707609" w:rsidP="00707609">
      <w:r>
        <w:t>Счет Бухгалтерского Учета 90 Краткосрочные Кредиты Банков</w:t>
      </w:r>
    </w:p>
    <w:p w:rsidR="00707609" w:rsidRDefault="00707609" w:rsidP="00707609">
      <w:r>
        <w:t>счет, предназначенный для обобщения информации о состоянии различных краткосрочных (на срок не более одного года) кредитов в российской и иностранных валютах, полученных предприятием в банках на территории страны и за рубежом. Порядок кредитования, оформления кредитов и их погашения регулируется правилами банков и кредитными договорами. Суммы полученных краткосрочных кредитов банков отражаются по кредиту счета 90 в дебет счетов 50 ""Касса"", 51 ""Расчетный счет"", 52 ""Валютный счет"", 55 ""Специальные счета в банках"", 60 ""Расчеты с поставщиками и подрядчиками"" и т.д. На суммы погашенных кредитов банков дебетуется счет 90 в корреспонденции со счетами учета денежных средств. Кредиты банков, не оплаченных в срок, учитываются отдельно</w:t>
      </w:r>
    </w:p>
    <w:p w:rsidR="00007233" w:rsidRDefault="00007233" w:rsidP="00707609"/>
    <w:p w:rsidR="00007233" w:rsidRDefault="00007233" w:rsidP="00707609"/>
    <w:p w:rsidR="00007233" w:rsidRDefault="00007233" w:rsidP="00007233">
      <w:r>
        <w:t>ОСНОВНЫЕ ЗАДАЧИ УПРАВЛЕНИЯ ДЕНЕЖНЫМИ СРЕДСТВАМИ</w:t>
      </w:r>
    </w:p>
    <w:p w:rsidR="00007233" w:rsidRDefault="00007233" w:rsidP="00007233"/>
    <w:p w:rsidR="00007233" w:rsidRDefault="00007233" w:rsidP="00007233">
      <w:r>
        <w:t>В принципе управление денежными средствами сводится к выявлению причин их недостатка или избытка, а также определению источников их поступления и направлений использования. При этом в рамках финансового анализа под денежными средствами понимают: денежную наличность, т.е. свободные средства, которыми компания обладает в настоящий момент и разность между чистым оборотным капиталом и потребностью в оборотном капитале (она указывает на необходимость привлечения внешних средств).</w:t>
      </w:r>
    </w:p>
    <w:p w:rsidR="00007233" w:rsidRDefault="00007233" w:rsidP="00007233"/>
    <w:p w:rsidR="00007233" w:rsidRDefault="00007233" w:rsidP="00007233">
      <w:r>
        <w:t>Целью управления денежными средствами компании является следующее:</w:t>
      </w:r>
    </w:p>
    <w:p w:rsidR="00007233" w:rsidRDefault="00007233" w:rsidP="00007233">
      <w:r>
        <w:t xml:space="preserve">обеспечение возможности гибкого реагирования на изменения рыночной ситуации; </w:t>
      </w:r>
    </w:p>
    <w:p w:rsidR="00007233" w:rsidRDefault="00007233" w:rsidP="00007233">
      <w:r>
        <w:t xml:space="preserve">повышение эффективности деятельности путем принятия взаимоувязанных решений во всех областях управления, затрагивающих финансовые потоки; </w:t>
      </w:r>
    </w:p>
    <w:p w:rsidR="00007233" w:rsidRDefault="00007233" w:rsidP="00007233">
      <w:r>
        <w:t xml:space="preserve">осуществление целенаправленных организационных изменений в компании путем оценки деятельности подразделений, формального анализа возможных альтернативных вариантов действий, принятия и реализации соответствующих управленческих решений; </w:t>
      </w:r>
    </w:p>
    <w:p w:rsidR="00007233" w:rsidRDefault="00007233" w:rsidP="00007233">
      <w:r>
        <w:t xml:space="preserve">демонстрация возможностей роста и прибыльности потенциальным инвесторам; </w:t>
      </w:r>
    </w:p>
    <w:p w:rsidR="00007233" w:rsidRDefault="00007233" w:rsidP="00007233">
      <w:r>
        <w:t>осознанный выбор адекватной финансовой стратегии путем оценки сопоставления уровней прибыли и риска.</w:t>
      </w:r>
    </w:p>
    <w:p w:rsidR="00007233" w:rsidRDefault="00007233" w:rsidP="00007233"/>
    <w:p w:rsidR="00007233" w:rsidRDefault="00007233" w:rsidP="00007233">
      <w:r>
        <w:t>В конечном счете все сводится к оптимизации денежной наличности и поддержанию финансового равновесия (иногда говорят о выживании компании) с наименьшими затратами, что является одной из главных задач любой компании. Важнейшим при этом является анализ достаточности средств и скоординированности поступлений и выплат с целью обеспечения ликвидности компании. Но и эта, казалось бы, несложная задача может оказаться достаточно трудоемкой даже в условиях небольшого предприятия, не говоря уже о проведении исследований типа "что будет, если...", например, с целью выбора необходимого "интервала планирования" (не путать "с горизонтом планирования!").</w:t>
      </w:r>
    </w:p>
    <w:p w:rsidR="00BB61C3" w:rsidRDefault="00BB61C3" w:rsidP="00007233"/>
    <w:p w:rsidR="00BB61C3" w:rsidRDefault="00BB61C3" w:rsidP="00BB61C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ЦЕЛИ, ПРИНЦИПЫ, МЕТОДЫ ДЕЯТЕЛЬНОСТИ МКА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конгресс Международного кооперативного альянса состоялся 28.10.1896г. в Париже. В нем приняли участие около 30 человек – представителей кооперативных обществ и частных лиц, изъявивших желание приехать на конгресс.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Парижский конгресс принял Устав, в котором формулировались цели, принципы и методы деятельности Альянса. Члены Альянса ставили перед собой узкие практические цели: ознакомление друг с другом, совместное изучение и пропаганда принципов кооперации, участие рабочих и служащих в прибылях в каждой ассоциации и установление деловых отношений между кооператорами разных стран.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Уставе провозглашался принцип «политического нейтралитета» кооперации. «Альянс, - гласила ст.2, - не занимается ни политикой, ни религией… 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…Кооперация в состоянии обойтись собственными средствами и не должна служить инструментом какой-либо партии». 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помощью принципа «политического нейтралитета» духовные отцы Альянса хотели отгородить кооперативное движение от классовой борьбы, влияния идей научного социализма.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Уставе подробно изложены методы деятельности Альянса: формы и порядок связей с национальными организациями, сроки созыва конгрессов Альянса, нормы представительства в его центральных органах. Размеры членских взносов, характер деятельности Центрального комитета Альянса и его бюро. Согласно т. 28 Устава каждая страна могла направить в ЦК МКА от одного до шести представителей в зависимости от численности и «значения» кооперативного движения. Подобные нормы представительства давали преимущества наиболее развитым в то время кооперативным движениям Англии и Франции.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конгрессе с основным докладом выступил представитель производственной кооперации Франции Бюиссон.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Он предложил, чтобы потребительские кооперативы ввели у себя систему участия в прибылях в таком виде, чтобы половин чистой прибыли распределялась между рабочими, а другая часть – между кредиторами. Его выступление было встречено в штыки.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конгресс избрал Центральный комитет в составе 37 человек и Бюро (администрацию) во главе с директором, утвердил флаг и рабочий язык Альянса, рекомендовал объявить во всех странах один день в году днем кооперации.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проекте Устава Альянса, одобрено еще </w:t>
      </w:r>
      <w:r>
        <w:rPr>
          <w:sz w:val="28"/>
          <w:szCs w:val="28"/>
          <w:lang w:val="en-US"/>
        </w:rPr>
        <w:t>I</w:t>
      </w:r>
      <w:r w:rsidRPr="00E304CD">
        <w:rPr>
          <w:sz w:val="28"/>
          <w:szCs w:val="28"/>
        </w:rPr>
        <w:t xml:space="preserve"> </w:t>
      </w:r>
      <w:r>
        <w:rPr>
          <w:sz w:val="28"/>
          <w:szCs w:val="28"/>
        </w:rPr>
        <w:t>конгрессом, целый раздел (ст.32-34) был посвящен учреждению, структуре и функциям Специального коммерческого комитета – центра международной кооперативной торговли.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конгрессе это предложение не получило поддержки представителей кооперативных организаций других стран, которые еще не испытывали потребности в международном торговом обмене в такой большой мере, как английское движение. Поэтому раздел 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 xml:space="preserve"> о специальном коммерческом комитете Альянса был исключен из Устава, а о необходимости установить деловые связи между кооперативами разных стран была сделана запись в разделе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«Цели Международного кооперативного альянса».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конгресс МКА проходил в 1897г. в Голландии г. Делфте. Делегаты уделили основное внимание реальным и практическим проблемам – кооперативному законодательству и коммерческим отношениям между кооперативами разных стран.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Голландские кооператоры предложили учредить «кооперативные биржи» с образцами товаров кооперативов разных стран; французские операторы настаивали на развитии в каждой стране кооперативных оптовых обществ с внешнеторговой функцией; английские – последовательно отстаивали идею международного торгового агентства при МКА.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1896г. в Англии уже действовало внешнеторговое кооперативное объединение, которое имело торговые соглашения с французскими, бельгийскими, голландскими и норвежскими кооперативными обществами.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развитии международной кооперативной торговли были наиболее заинтересованы производственные кооператоры, которые стремились путем устранения посредников на внешнем рынке улучшить свое положение в конкурентной борьбе с крупным капиталом.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1898г. конгресс английских кооперативных обществ в Петерборохе осудил практику преследований кооперативного движения, а также бойкот торговым капиталом кооперативных предприятий и призвал парламентский комитет Кооперативного союза и Британского конгресса тред-юнионов принять энергичные меры в защиту интересов трудящихся – членов кооперативов и профсоюзов.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Англии борьба за свободу действий для кооперации завершилась созданием в 1919г. собственной политической кооперативной партии, ставшей впоследствии коллективным членом лейбористской партии.</w:t>
      </w:r>
    </w:p>
    <w:p w:rsidR="00BB61C3" w:rsidRDefault="00BB61C3" w:rsidP="00BB61C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конгрессе МКА, который состоялся в 1900г. в Париже, бельгийские кооператоры – социалисты Э. Ансель и Л. Бертран изложили позицию социалистической партии в отношении кооперативного движения, подчеркнув, что в Бельгии между социалистическим движением и кооперацией нет противоречий. Также выступили представители Нимской научной школы кооперации (Франция) Шарль Жид и де Буав. Они квалифицировали кооперацию как универсальное средство классового сотрудничества, «сближения лучших элементов различных классов».</w:t>
      </w:r>
    </w:p>
    <w:p w:rsidR="00E304CD" w:rsidRPr="00E304CD" w:rsidRDefault="00BB61C3" w:rsidP="00E304C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1900г. в Альянсе наметилось два подхода к оценке социальных возможностей кооперативного движения: социалистический и реформистский (мелкобуржуазный).</w:t>
      </w:r>
      <w:r w:rsidR="00E304CD" w:rsidRPr="00E304CD">
        <w:t xml:space="preserve"> </w:t>
      </w:r>
      <w:r w:rsidR="00E304CD" w:rsidRPr="00E304CD">
        <w:rPr>
          <w:sz w:val="28"/>
          <w:szCs w:val="28"/>
        </w:rPr>
        <w:t>Международный кооперативный альянс (МКА), международная организация, объединяющая национальные, региональные союзы и федерации кооперативов, главным образом потребительских, кредитных и сельскохозяйственных. Основан в Лондоне в 1895. На январь 1972 МКА объединял кооперативные организации 64 стран с общим числом членов 270 млн. человек. Московский центральный союз потребительских обществ (ныне Центросоюз СССР) вступил в МКА в 1903. Членами МКА являются также кооперативные организации Болгарии, Венгрии, ГДР, Польши, Румынии, Чехословакии и Югославии. Руководящие органы МКА: Конгресс, созываемый 1 раз в 3-4 года; Центральный комитет, созываемый ежегодно; Исполком, состоящий из президента МКА, 2 вице-президентов и 13 членов. Текущей работой руководят директор и Секретариат. Местонахождение - Лондон. Уставом МКА определены категории и условия членства и в соответствии с ними - размер членских взносов и представительство в руководящих органах МКА. Основные цели МКА, провозглашенные его уставом: содействие развитию кооперации во всех странах, пропаганда принципов и методов кооперативного движения, защита и представительство его интересов, установление и развитие взаимных контактов, сотрудничества между кооперативами разных стран, содействие установлению длительного мира и безопасности.</w:t>
      </w:r>
    </w:p>
    <w:p w:rsidR="00E304CD" w:rsidRPr="00E304CD" w:rsidRDefault="00E304CD" w:rsidP="00E304CD">
      <w:pPr>
        <w:spacing w:line="360" w:lineRule="auto"/>
        <w:ind w:firstLine="709"/>
        <w:jc w:val="both"/>
        <w:rPr>
          <w:sz w:val="28"/>
          <w:szCs w:val="28"/>
        </w:rPr>
      </w:pPr>
    </w:p>
    <w:p w:rsidR="00BB61C3" w:rsidRPr="00E304CD" w:rsidRDefault="00E304CD" w:rsidP="00E304CD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304CD">
        <w:rPr>
          <w:sz w:val="28"/>
          <w:szCs w:val="28"/>
        </w:rPr>
        <w:t xml:space="preserve">  МКА имеет консультативный статус в ООН, сотрудничает с рядом органов и специализированных организаций ООН, участвует в их сессиях (Экономического и социального совета, Экономической комиссии для Европы, Экономической комиссии для Латинской Америки, Международной организации труда - МОТ, Продовольственной и сельскохозяйственной организации ООН - ФАО, ЮНЕСКО и других). Изучением и разработкой конкретных вопросов занимаются созданные при МКА международные вспомогательные комитеты: сельскохозяйственной кооперации, страховой, банковский, жилищный, потребительской кооперативной торговли, рабочих производственных и промысловых кооперативов. МКА</w:t>
      </w:r>
      <w:r w:rsidRPr="00E304CD">
        <w:rPr>
          <w:sz w:val="28"/>
          <w:szCs w:val="28"/>
          <w:lang w:val="en-US"/>
        </w:rPr>
        <w:t xml:space="preserve"> </w:t>
      </w:r>
      <w:r w:rsidRPr="00E304CD">
        <w:rPr>
          <w:sz w:val="28"/>
          <w:szCs w:val="28"/>
        </w:rPr>
        <w:t>изучает</w:t>
      </w:r>
      <w:r w:rsidRPr="00E304CD">
        <w:rPr>
          <w:sz w:val="28"/>
          <w:szCs w:val="28"/>
          <w:lang w:val="en-US"/>
        </w:rPr>
        <w:t xml:space="preserve"> </w:t>
      </w:r>
      <w:r w:rsidRPr="00E304CD">
        <w:rPr>
          <w:sz w:val="28"/>
          <w:szCs w:val="28"/>
        </w:rPr>
        <w:t>проблемы</w:t>
      </w:r>
      <w:r w:rsidRPr="00E304CD">
        <w:rPr>
          <w:sz w:val="28"/>
          <w:szCs w:val="28"/>
          <w:lang w:val="en-US"/>
        </w:rPr>
        <w:t xml:space="preserve"> </w:t>
      </w:r>
      <w:r w:rsidRPr="00E304CD">
        <w:rPr>
          <w:sz w:val="28"/>
          <w:szCs w:val="28"/>
        </w:rPr>
        <w:t>кооперации</w:t>
      </w:r>
      <w:r w:rsidRPr="00E304CD">
        <w:rPr>
          <w:sz w:val="28"/>
          <w:szCs w:val="28"/>
          <w:lang w:val="en-US"/>
        </w:rPr>
        <w:t xml:space="preserve">, </w:t>
      </w:r>
      <w:r w:rsidRPr="00E304CD">
        <w:rPr>
          <w:sz w:val="28"/>
          <w:szCs w:val="28"/>
        </w:rPr>
        <w:t>издаёт</w:t>
      </w:r>
      <w:r w:rsidRPr="00E304CD">
        <w:rPr>
          <w:sz w:val="28"/>
          <w:szCs w:val="28"/>
          <w:lang w:val="en-US"/>
        </w:rPr>
        <w:t xml:space="preserve"> </w:t>
      </w:r>
      <w:r w:rsidRPr="00E304CD">
        <w:rPr>
          <w:sz w:val="28"/>
          <w:szCs w:val="28"/>
        </w:rPr>
        <w:t>журналы</w:t>
      </w:r>
      <w:r w:rsidRPr="00E304CD">
        <w:rPr>
          <w:sz w:val="28"/>
          <w:szCs w:val="28"/>
          <w:lang w:val="en-US"/>
        </w:rPr>
        <w:t>: «Review of International Co-operation» (</w:t>
      </w:r>
      <w:r w:rsidRPr="00E304CD">
        <w:rPr>
          <w:sz w:val="28"/>
          <w:szCs w:val="28"/>
        </w:rPr>
        <w:t>с</w:t>
      </w:r>
      <w:r w:rsidRPr="00E304CD">
        <w:rPr>
          <w:sz w:val="28"/>
          <w:szCs w:val="28"/>
          <w:lang w:val="en-US"/>
        </w:rPr>
        <w:t xml:space="preserve"> 1909), «Co-operative News service», «Agricultural Co-operative Bulletin».</w:t>
      </w:r>
    </w:p>
    <w:p w:rsidR="00707609" w:rsidRPr="00101B17" w:rsidRDefault="00707609" w:rsidP="0002712D">
      <w:bookmarkStart w:id="0" w:name="_GoBack"/>
      <w:bookmarkEnd w:id="0"/>
    </w:p>
    <w:sectPr w:rsidR="00707609" w:rsidRPr="00101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F695C"/>
    <w:multiLevelType w:val="hybridMultilevel"/>
    <w:tmpl w:val="E8AA549A"/>
    <w:lvl w:ilvl="0" w:tplc="F3EE772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11B"/>
    <w:rsid w:val="00007233"/>
    <w:rsid w:val="0002712D"/>
    <w:rsid w:val="00100919"/>
    <w:rsid w:val="00101B17"/>
    <w:rsid w:val="002019E0"/>
    <w:rsid w:val="00216723"/>
    <w:rsid w:val="00417ABE"/>
    <w:rsid w:val="00531F1A"/>
    <w:rsid w:val="00707609"/>
    <w:rsid w:val="0087411B"/>
    <w:rsid w:val="00940273"/>
    <w:rsid w:val="00AE2287"/>
    <w:rsid w:val="00B97C89"/>
    <w:rsid w:val="00BB61C3"/>
    <w:rsid w:val="00C954E0"/>
    <w:rsid w:val="00E304CD"/>
    <w:rsid w:val="00F0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34EF1-9F28-4C1E-9A5D-85FA5E69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Формы и методы финансового контроля</vt:lpstr>
    </vt:vector>
  </TitlesOfParts>
  <Company>ХФТУТ</Company>
  <LinksUpToDate>false</LinksUpToDate>
  <CharactersWithSpaces>15774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Формы и методы финансового контроля</dc:title>
  <dc:subject/>
  <dc:creator>Urunov_Jafar</dc:creator>
  <cp:keywords/>
  <dc:description/>
  <cp:lastModifiedBy>admin</cp:lastModifiedBy>
  <cp:revision>2</cp:revision>
  <dcterms:created xsi:type="dcterms:W3CDTF">2014-04-09T10:51:00Z</dcterms:created>
  <dcterms:modified xsi:type="dcterms:W3CDTF">2014-04-09T10:51:00Z</dcterms:modified>
</cp:coreProperties>
</file>