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F2D" w:rsidRDefault="00F36F2D" w:rsidP="00584374">
      <w:pPr>
        <w:spacing w:line="240" w:lineRule="auto"/>
        <w:ind w:firstLine="709"/>
        <w:jc w:val="center"/>
        <w:rPr>
          <w:rFonts w:ascii="Times New Roman" w:hAnsi="Times New Roman"/>
          <w:b/>
          <w:sz w:val="32"/>
          <w:szCs w:val="28"/>
        </w:rPr>
      </w:pPr>
    </w:p>
    <w:p w:rsidR="00D5005C" w:rsidRPr="00584374" w:rsidRDefault="00D5005C" w:rsidP="00584374">
      <w:pPr>
        <w:spacing w:line="240" w:lineRule="auto"/>
        <w:ind w:firstLine="709"/>
        <w:jc w:val="center"/>
        <w:rPr>
          <w:rFonts w:ascii="Times New Roman" w:hAnsi="Times New Roman"/>
          <w:b/>
          <w:sz w:val="32"/>
          <w:szCs w:val="28"/>
        </w:rPr>
      </w:pPr>
      <w:r w:rsidRPr="00584374">
        <w:rPr>
          <w:rFonts w:ascii="Times New Roman" w:hAnsi="Times New Roman"/>
          <w:b/>
          <w:sz w:val="32"/>
          <w:szCs w:val="28"/>
        </w:rPr>
        <w:t>Денежная система Японии.</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Тенденция к прогрессирующему расстройству денежного обращения в Японии прослеживается со времен первой мировой войны, когда был отменен обмен банкнот Банка Японии на золото.</w:t>
      </w:r>
      <w:r w:rsidRPr="002369C1">
        <w:rPr>
          <w:rFonts w:ascii="Times New Roman" w:hAnsi="Times New Roman"/>
          <w:sz w:val="28"/>
          <w:szCs w:val="28"/>
        </w:rPr>
        <w:br/>
        <w:t>Эмиссионный центр — Банк Японии, учрежденный в 1882 г., по закону 1889 г. получил право фидуциарной банкнотной эмиссии; золотой стандарт был введен в 1897 г.</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годы первой мировой войны и после ее окончания денежное обращение в Японии значительно увеличилось (в 1914—1920 гг. в три раза), что явилось одним из факторов инфляции. За тот же период иена обесценилась почти на 64%.</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дальнейшем денежное обращение в Японии было временно стабилизировано. Инфляция возобновилась в связи с мировым экономическим кризисом 1929—1933 гг. и агрессией Японии (захват Манчжурии, агрессивные акции в Китае, подготовка к агрессии в годы второй мировой войны). В 1931 г. был упразднен золотой стандарт, с 1931 по 1937 г. денежная масса в обращении увеличилась в 1,6 раза, оптовые цены — на 68%.</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С начала японской агрессии в Китае в 1937 г. и до конца второй мировой войны инфляция в Японии значительно усилилась. В условиях быстро растущих военных ассигнований и бюджетных дефицитов эмиссия банкнот широко использовалась для их финансирования; упадок гражданского производства сопровождался нехваткой продовольствия и предметов первой необходимости, что усиливало рост цен и спекуляцию. Росту товарных цен способствовали увеличение косвенных налогов и государственная политика цен.</w:t>
      </w:r>
    </w:p>
    <w:p w:rsidR="00D5005C" w:rsidRPr="002369C1"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1937—1944 гг. количество банкнот в обращении возросло с 2,3 млрд. до 17,7 млрд. иен, а облигаций государственных займов в портфеле Банка Японии — с 1,4 млрд. до 9,6 млрд. иен. Одновременно сумма текущих депозитов во всех банках страны увеличилась с 4,4 млрд. до 21,7 млрд. иен. Производство работало на войну, обеспечивая монополистической буржуазии высокие прибыли. Выпуск товаров личного потребления быстро сокращался.</w:t>
      </w:r>
      <w:r>
        <w:rPr>
          <w:rFonts w:ascii="Times New Roman" w:hAnsi="Times New Roman"/>
          <w:sz w:val="28"/>
          <w:szCs w:val="28"/>
        </w:rPr>
        <w:t xml:space="preserve"> </w:t>
      </w:r>
      <w:r w:rsidRPr="002369C1">
        <w:rPr>
          <w:rFonts w:ascii="Times New Roman" w:hAnsi="Times New Roman"/>
          <w:sz w:val="28"/>
          <w:szCs w:val="28"/>
        </w:rPr>
        <w:t>Своим острием инфляция была направлена против интересов рабочего класса, широких масс трудящихся. Реальная заработная плата японских рабочих в 1945 г. составляла лишь 41,2% от уровня 1934—1936 гг. Инфляция нанесла тяжелый удар по интересам неимущего крестьянства. В то же время она использовалась в интересах крупного капитала, монополий. В конце войны инфляция резко обострилась. Она сопровождалась не только стремлением освободиться от обесценивающихся денег путем покупки реальных ценностей (золота, земли, строений, товаров и т. п.), но и развитием меновой торговли.</w:t>
      </w:r>
    </w:p>
    <w:p w:rsidR="00D5005C" w:rsidRPr="002369C1" w:rsidRDefault="00D5005C" w:rsidP="00584374">
      <w:pPr>
        <w:spacing w:line="240" w:lineRule="auto"/>
        <w:ind w:firstLine="709"/>
        <w:jc w:val="center"/>
        <w:rPr>
          <w:rFonts w:ascii="Times New Roman" w:hAnsi="Times New Roman"/>
          <w:b/>
          <w:bCs/>
          <w:sz w:val="28"/>
          <w:szCs w:val="28"/>
        </w:rPr>
      </w:pPr>
      <w:r w:rsidRPr="002369C1">
        <w:rPr>
          <w:rFonts w:ascii="Times New Roman" w:hAnsi="Times New Roman"/>
          <w:b/>
          <w:bCs/>
          <w:sz w:val="28"/>
          <w:szCs w:val="28"/>
        </w:rPr>
        <w:t>Изменения в структуре денежного обращения в послевоенный период</w:t>
      </w:r>
      <w:r>
        <w:rPr>
          <w:rFonts w:ascii="Times New Roman" w:hAnsi="Times New Roman"/>
          <w:b/>
          <w:bCs/>
          <w:sz w:val="28"/>
          <w:szCs w:val="28"/>
        </w:rPr>
        <w:t>.</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Послевоенное эмиссионное законодательство предусматривает определенные ограничения выпуска банкнот, но в действительности они не имели практического значения, поскольку при необходимости бюджетного финансирования правительство пересматривало введенные лимиты эмиссии. Регулирование денежной эмиссии осуществляется не столько с помощью ограничений, связанных с обеспечением, сколько административными мерами в связи с политикой экономического регулирования, особенно регулирования инвестиций, цикла, валютных курсов и международных расчетов.</w:t>
      </w:r>
    </w:p>
    <w:p w:rsidR="00D5005C" w:rsidRDefault="00D5005C" w:rsidP="00EB435A">
      <w:pPr>
        <w:spacing w:line="240" w:lineRule="auto"/>
        <w:ind w:firstLine="709"/>
        <w:jc w:val="both"/>
        <w:rPr>
          <w:rFonts w:ascii="Times New Roman" w:hAnsi="Times New Roman"/>
          <w:sz w:val="28"/>
          <w:szCs w:val="28"/>
        </w:rPr>
      </w:pPr>
      <w:r w:rsidRPr="002369C1">
        <w:rPr>
          <w:rFonts w:ascii="Times New Roman" w:hAnsi="Times New Roman"/>
          <w:sz w:val="28"/>
          <w:szCs w:val="28"/>
        </w:rPr>
        <w:t xml:space="preserve">Структура денежного обращения в послевоенный период заметно изменилась. В ходе второй мировой войны, когда инфляция получила большое развитие и ссудные капиталы обесценивались, доля наличных денег возросла (с 29,7 до 56,1%), а депозитных соответственно упала. В первые годы после войны, несмотря на усилившуюся инфляцию, структура денежного обращения стала постепенно выправляться, поскольку хозяйство восстанавливалось, рос объем торгового и платежного оборота, в том числе повышался удельный вес оптовой торговли. В 1952—1965 гг. доля депозитных денег превысила довоенные показатели (78%). Это было связано с изменением структуры внутренней торговли в сторону повышения удельного веса оптовой торговли, которую обслуживают в подавляющей части депозитные деньги, безналичные расчеты. </w:t>
      </w:r>
    </w:p>
    <w:p w:rsidR="00D5005C" w:rsidRDefault="00D5005C" w:rsidP="00EB435A">
      <w:pPr>
        <w:spacing w:line="240" w:lineRule="auto"/>
        <w:ind w:firstLine="709"/>
        <w:jc w:val="both"/>
        <w:rPr>
          <w:rFonts w:ascii="Times New Roman" w:hAnsi="Times New Roman"/>
          <w:sz w:val="28"/>
          <w:szCs w:val="28"/>
        </w:rPr>
      </w:pPr>
      <w:r w:rsidRPr="002369C1">
        <w:rPr>
          <w:rFonts w:ascii="Times New Roman" w:hAnsi="Times New Roman"/>
          <w:sz w:val="28"/>
          <w:szCs w:val="28"/>
        </w:rPr>
        <w:t>В первый период после войны (1945—1951 гг.) инфляция приняла невиданный размах. Масса денег в обращении выросла в 15 раз, оптовые цены — в 343 раза. Промышленное производство находилось в состоянии упадка; в условиях товарного голода спрос на товары превышал предложение и стимулировал рост цен. Покупательная сила иены сократилась на 99% по сравнению с 1945 г. Банкнотная эмиссия Банка Японии была связана непосредственно с финансированием бюджетного дефицита: 90% прироста банкнот в обращении было выпущено под обеспечение облигаций государственных займов и других правительственных ценных бумаг. Широкое распространение в стране получил «черный» рынок, цены на котором были в среднем в четыре — шесть раз выше официальных. Инфляция оказывала дезорганизующее влияние на всю экономику и отрицательно сказывалась на положении рабочего класса. В 1946 г. реальная заработная плата составляла лишь 19% от довоенного уровня; в последующие годы она тормозила рост реальной заработной платы, но не смогла его предотвратить — это явилось результатом упорной борьбы японского пролетариата за свои права.</w:t>
      </w:r>
    </w:p>
    <w:p w:rsidR="00D5005C" w:rsidRPr="002369C1"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1946 и в 1949—1950 гг. делались попытки стабилизировать денежное обращение. Денежная реформа 1946 г., проведенная в условиях хозяйственной разрухи и растущих бюджетных расходов, успеха не имела. Реформа 1949—1950 гг. в значительной мере подготовила относительную стабилизацию денежного обращения, которая началась в 1952 г.</w:t>
      </w:r>
    </w:p>
    <w:p w:rsidR="00D5005C" w:rsidRPr="002369C1" w:rsidRDefault="00D5005C" w:rsidP="008D3649">
      <w:pPr>
        <w:spacing w:line="240" w:lineRule="auto"/>
        <w:ind w:firstLine="709"/>
        <w:jc w:val="center"/>
        <w:rPr>
          <w:rFonts w:ascii="Times New Roman" w:hAnsi="Times New Roman"/>
          <w:b/>
          <w:bCs/>
          <w:sz w:val="28"/>
          <w:szCs w:val="28"/>
        </w:rPr>
      </w:pPr>
      <w:r w:rsidRPr="002369C1">
        <w:rPr>
          <w:rFonts w:ascii="Times New Roman" w:hAnsi="Times New Roman"/>
          <w:b/>
          <w:bCs/>
          <w:sz w:val="28"/>
          <w:szCs w:val="28"/>
        </w:rPr>
        <w:t>Денежное обращение Японии в 50—70-х годах</w:t>
      </w:r>
      <w:r>
        <w:rPr>
          <w:rFonts w:ascii="Times New Roman" w:hAnsi="Times New Roman"/>
          <w:b/>
          <w:bCs/>
          <w:sz w:val="28"/>
          <w:szCs w:val="28"/>
        </w:rPr>
        <w:t>.</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С 1952 г., когда восстановление экономики было завершено, инфляция замедлилась. Основу этого процесса составляли техническая реконструкция и рост производства и обращения товаров, а также сокращение доли государственного бюджета в национальном доходе, сравнительно низкий уровень военных расходов и государственного кредита, размещение государственных займов за счет ресурсов кредитной системы и др</w:t>
      </w:r>
      <w:r>
        <w:rPr>
          <w:rFonts w:ascii="Times New Roman" w:hAnsi="Times New Roman"/>
          <w:sz w:val="28"/>
          <w:szCs w:val="28"/>
        </w:rPr>
        <w:t xml:space="preserve">. </w:t>
      </w:r>
      <w:r w:rsidRPr="002369C1">
        <w:rPr>
          <w:rFonts w:ascii="Times New Roman" w:hAnsi="Times New Roman"/>
          <w:sz w:val="28"/>
          <w:szCs w:val="28"/>
        </w:rPr>
        <w:t xml:space="preserve"> </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Вместе с тем розничные и потребительские цены значительно возросли. Это связано, во-первых, с тем, что в розничной торговле особенно велика доля чистых издержек обращения, которые постепенно повышаются; во-вторых, с ростом цен на оплату жилищ и различных услуг (жилищная проблема в стране приобрела большую остроту: в Японии не хватает 10 млн. домов); в-третьих, с политикой государства, которое повышает тарифы на коммунальном и железнодорожном транспорте и за другие коммунальные услуги (разновидность косвенного налогообложения) и т. п. Важным фактором роста цен являлась политика монополий в области цен. Себестоимость многих производимых ими товаров в два-три и более раз ниже продажных цен на внутреннем рынке.</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Во второй половине 60-х и особенно в 70-х годах инфляция в Японии значительно усилилась (в 1970—1976 гг. среднегодовой темп роста цен превысил 10%). Для финансирования расходов по центральному бюджету с 1965 г. вновь стали использоваться государственные займы, которые размещались в эмиссионном банке. Опережающие темпы накопления ссудных капиталов создавали условия для более высоких темпов роста депозитных денег по сравнению с товарным и платежным оборотом. Правительственная политика кредитной экспансии, осуществляемая в ходе. промышленного подъема, а также усиление косвенных налогов, транспортных тарифов и т. п. стимулировали рост цен. В этом направлении действовала политика цен монополий, а также рост цен на импортное сырье, топливо и продовольствие.</w:t>
      </w:r>
    </w:p>
    <w:p w:rsidR="00D5005C" w:rsidRPr="002369C1"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условиях кризиса валютной системы капитализма и обесценения доллара усилилась роль внешних факторов в инфляционном процессе в современной Японии.</w:t>
      </w:r>
    </w:p>
    <w:p w:rsidR="00D5005C" w:rsidRPr="002369C1" w:rsidRDefault="00D5005C" w:rsidP="008D3649">
      <w:pPr>
        <w:spacing w:line="240" w:lineRule="auto"/>
        <w:ind w:firstLine="709"/>
        <w:jc w:val="center"/>
        <w:rPr>
          <w:rFonts w:ascii="Times New Roman" w:hAnsi="Times New Roman"/>
          <w:b/>
          <w:bCs/>
          <w:sz w:val="28"/>
          <w:szCs w:val="28"/>
        </w:rPr>
      </w:pPr>
      <w:r w:rsidRPr="002369C1">
        <w:rPr>
          <w:rFonts w:ascii="Times New Roman" w:hAnsi="Times New Roman"/>
          <w:b/>
          <w:bCs/>
          <w:sz w:val="28"/>
          <w:szCs w:val="28"/>
        </w:rPr>
        <w:t>Особенности валютного положения</w:t>
      </w:r>
      <w:r>
        <w:rPr>
          <w:rFonts w:ascii="Times New Roman" w:hAnsi="Times New Roman"/>
          <w:b/>
          <w:bCs/>
          <w:sz w:val="28"/>
          <w:szCs w:val="28"/>
        </w:rPr>
        <w:t>.</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 xml:space="preserve">Инфляционное обесценение иены явилось одним из факторов падения ее валютного курса. В результате государственного регулирования курс иены время от времени пересматривался и на короткий срок приводился в относительное соответствие с его реальным паритетом. Так, курс по отношению к доллару США составлял: с сентября 1945 г. 15иен = = 1 долл., с марта 1947 г. 50 иен = 1 долл., с июля 1948 г. 270 иен=1 долл. При этом действовала система множественных валютных курсов. Единый валютный курс был установлен с апреля 1949 г.: 360 иен = 1 долл. Он просуществовал до 1971 г. Если в 1949 г. курс иены к доллару был искусственно завышен, то в дальнейшем он более или менее соответствовал их реальному паритету, а в 60-х годах наблюдалось его занижение. </w:t>
      </w:r>
    </w:p>
    <w:p w:rsidR="00D5005C" w:rsidRPr="002369C1"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Кризис доллара и меры правительства США в августе 1971 г. вынудили японские власти ввести «плавающий» курс иены, а затем в соответствии с соглашением от 18 декабря 1971 г. министров «группы десяти» японская иена была ревальвирована. В марте 1977 г. он составил 281—276 иен за 1 долл.</w:t>
      </w:r>
      <w:r>
        <w:rPr>
          <w:rFonts w:ascii="Times New Roman" w:hAnsi="Times New Roman"/>
          <w:sz w:val="28"/>
          <w:szCs w:val="28"/>
        </w:rPr>
        <w:t xml:space="preserve"> </w:t>
      </w:r>
      <w:r w:rsidRPr="002369C1">
        <w:rPr>
          <w:rFonts w:ascii="Times New Roman" w:hAnsi="Times New Roman"/>
          <w:sz w:val="28"/>
          <w:szCs w:val="28"/>
        </w:rPr>
        <w:t xml:space="preserve">Валютное положение Японии в 50-х и в первой половине 60-х годов было неустойчивым, несмотря на рост экспорта и приток иностранных капиталов. Периодически страна переживала кризисы платежного баланса. Золотовалютные резервы были ниже 1 млрд. долл., в первой половине 60-х годов — менее 2 млрд. долл. Во второй половине 60-х годов произошел перелом. Рост экономического потенциала Японии, сопровождавшийся модернизацией производства и повышением конкурентоспособности ее товаров, повлек за собой высокие темпы роста экспорта; во второй половине 60-х — в начале 70-х годов в условиях острого кризиса доллара резко усилился приток иностранных капиталов, в том числе краткосрочных. </w:t>
      </w:r>
    </w:p>
    <w:p w:rsidR="00D5005C" w:rsidRPr="002369C1" w:rsidRDefault="00D5005C" w:rsidP="008D3649">
      <w:pPr>
        <w:spacing w:line="240" w:lineRule="auto"/>
        <w:ind w:firstLine="709"/>
        <w:jc w:val="center"/>
        <w:rPr>
          <w:rFonts w:ascii="Times New Roman" w:hAnsi="Times New Roman"/>
          <w:b/>
          <w:bCs/>
          <w:sz w:val="28"/>
          <w:szCs w:val="28"/>
        </w:rPr>
      </w:pPr>
      <w:r w:rsidRPr="002369C1">
        <w:rPr>
          <w:rFonts w:ascii="Times New Roman" w:hAnsi="Times New Roman"/>
          <w:b/>
          <w:bCs/>
          <w:sz w:val="28"/>
          <w:szCs w:val="28"/>
        </w:rPr>
        <w:t>Кредитная система</w:t>
      </w:r>
      <w:r>
        <w:rPr>
          <w:rFonts w:ascii="Times New Roman" w:hAnsi="Times New Roman"/>
          <w:b/>
          <w:bCs/>
          <w:sz w:val="28"/>
          <w:szCs w:val="28"/>
        </w:rPr>
        <w:t>.</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Кредитная система возникла в Японии после незавершенной буржуазной революции 1868 г. Вслед за законом о национальных банках 1872 г. в течение последующих 30 лет была создана большая часть главных японских государственных (специальных) и частных банков, в том числе в 1882 г. центральный банк страны— Банк Японии. В 1897 г. был принят закон о коммерческих банках, легализовавший организацию банковской системы по европейским образцам. До первой мировой войны число кредитно-банковских институтов оставалось почти без изменения, но их капиталы значительно возросли.</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 xml:space="preserve">Кредитные учреждения кредитовали развивающуюся промышленность, торговлю и другие отрасли, предоставляли ссуды государству на покрытие его расходов, в том числе военных, в связи с многочисленными захватническими акциями японских милитаристов; они участвовали в экономической экспансии в колониях (специальный Тайваньский банк был создан в 1899 г., Корейский— в 1909 г.). В годы первой мировой войны японские банки форсировали свое проникновение в Китай, а внутри страны активно участвовали в кредитовании производства, прежде всего монополий и государства. </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начале 20-х годов в условиях послевоенного кризиса усилился процесс концентрации банков. Токийское землетрясение (1 сентября 1923 г.) уничтожило свыше 1/8 национального богатства, 76 из 86 банков лишились своих главных контор. Был объявлен мораторий. Банк Японии и другие банки расширили кредитование экономики в ходе восстановительных работ и последовавшего, экономического подъема.</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 xml:space="preserve">В 1927 г. в Японии разразился острый банковский кризис, который был следствием не только накопления в портфелях банков замороженных векселей, выпущенных на крупные суммы в связи с землетрясением, но и ухудшения их активов в 20-е годы в результате чрезмерной кредитной экспансии и, следовательно, ослабления банковской ликвидности. Кризис повлек за собой дальнейшую концентрацию банковского капитала и усиление позиций монополистических банков. </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1928 г. общее число банков сократилось вдвое по сравнению с 1918 г.</w:t>
      </w:r>
      <w:r w:rsidRPr="002369C1">
        <w:rPr>
          <w:rFonts w:ascii="Times New Roman" w:hAnsi="Times New Roman"/>
          <w:sz w:val="28"/>
          <w:szCs w:val="28"/>
        </w:rPr>
        <w:br/>
        <w:t xml:space="preserve">Японские банки активно участвовали в экономической подготовке ко второй мировой войне, были проводниками политики японских монополий в колониях, финансировали государственные военные расходы и развитие основных отраслей военной экономики. </w:t>
      </w:r>
    </w:p>
    <w:p w:rsidR="00D5005C" w:rsidRDefault="00D5005C" w:rsidP="00E942DB">
      <w:pPr>
        <w:spacing w:line="240" w:lineRule="auto"/>
        <w:ind w:firstLine="709"/>
        <w:jc w:val="both"/>
        <w:rPr>
          <w:rFonts w:ascii="Times New Roman" w:hAnsi="Times New Roman"/>
          <w:sz w:val="28"/>
          <w:szCs w:val="28"/>
        </w:rPr>
      </w:pPr>
      <w:r w:rsidRPr="002369C1">
        <w:rPr>
          <w:rFonts w:ascii="Times New Roman" w:hAnsi="Times New Roman"/>
          <w:sz w:val="28"/>
          <w:szCs w:val="28"/>
        </w:rPr>
        <w:t>В 1942 г. в условиях военной экономики, когда значительно усилился государственно-монополистический контроль над экономикой, была создана Национальная финансовая контрольная ассоциация, которой была подчинена деятельность всей кредитной системы. Монополистические банки и другие кредитные институты дзайбацу значительно обогатились, а их позиции усилились. Из 327 банковских институтов, существовавших в Японии в середине 1941 г., в апреле 1945 г. оставалось 125. Банки были обязаны вкладывать в облигации государственных банков не менее 75% прироста своих депозитов. В годы войны были созданы «ассоциации народных сбережений», в рамках которых из нищенской заработной платы рабочих и служащих и трудовых доходов крестьян в принудительном порядке делались отчисления для размещения облигаций военных займов. За счет ограбления рабочего класса, трудящихся, мелкой и части средней буржуазии было профинансировано не менее 40% военных государственных займов.</w:t>
      </w:r>
      <w:r w:rsidRPr="002369C1">
        <w:rPr>
          <w:rFonts w:ascii="Times New Roman" w:hAnsi="Times New Roman"/>
          <w:sz w:val="28"/>
          <w:szCs w:val="28"/>
        </w:rPr>
        <w:br/>
        <w:t>В годы войны была создан</w:t>
      </w:r>
      <w:r>
        <w:rPr>
          <w:rFonts w:ascii="Times New Roman" w:hAnsi="Times New Roman"/>
          <w:sz w:val="28"/>
          <w:szCs w:val="28"/>
        </w:rPr>
        <w:t>а специальная сеть кредитно-бан</w:t>
      </w:r>
      <w:r w:rsidRPr="002369C1">
        <w:rPr>
          <w:rFonts w:ascii="Times New Roman" w:hAnsi="Times New Roman"/>
          <w:sz w:val="28"/>
          <w:szCs w:val="28"/>
        </w:rPr>
        <w:t>ковских учреждений для осущес</w:t>
      </w:r>
      <w:r>
        <w:rPr>
          <w:rFonts w:ascii="Times New Roman" w:hAnsi="Times New Roman"/>
          <w:sz w:val="28"/>
          <w:szCs w:val="28"/>
        </w:rPr>
        <w:t>твления грабительской политики н</w:t>
      </w:r>
      <w:r w:rsidRPr="002369C1">
        <w:rPr>
          <w:rFonts w:ascii="Times New Roman" w:hAnsi="Times New Roman"/>
          <w:sz w:val="28"/>
          <w:szCs w:val="28"/>
        </w:rPr>
        <w:t xml:space="preserve">а территории временно оккупированных японскими империалистами </w:t>
      </w:r>
      <w:r>
        <w:rPr>
          <w:rFonts w:ascii="Times New Roman" w:hAnsi="Times New Roman"/>
          <w:sz w:val="28"/>
          <w:szCs w:val="28"/>
        </w:rPr>
        <w:t xml:space="preserve">стран </w:t>
      </w:r>
      <w:r w:rsidRPr="002369C1">
        <w:rPr>
          <w:rFonts w:ascii="Times New Roman" w:hAnsi="Times New Roman"/>
          <w:sz w:val="28"/>
          <w:szCs w:val="28"/>
        </w:rPr>
        <w:t>Азии.</w:t>
      </w:r>
    </w:p>
    <w:p w:rsidR="00D5005C" w:rsidRDefault="00D5005C" w:rsidP="00E942DB">
      <w:pPr>
        <w:spacing w:line="240" w:lineRule="auto"/>
        <w:ind w:firstLine="709"/>
        <w:jc w:val="both"/>
        <w:rPr>
          <w:rFonts w:ascii="Times New Roman" w:hAnsi="Times New Roman"/>
          <w:sz w:val="28"/>
          <w:szCs w:val="28"/>
        </w:rPr>
      </w:pPr>
      <w:r w:rsidRPr="002369C1">
        <w:rPr>
          <w:rFonts w:ascii="Times New Roman" w:hAnsi="Times New Roman"/>
          <w:sz w:val="28"/>
          <w:szCs w:val="28"/>
        </w:rPr>
        <w:t>В послевоенный период развитие кредитной системы Японии характеризуется рядом важных особенностей. Масса ссудных капиталов значительно расширилась. Это явилось результатом экономического роста Японии, превращения ее во вторую после США страну по уровню экономического развития в капиталистическом мире.</w:t>
      </w:r>
    </w:p>
    <w:p w:rsidR="00D5005C" w:rsidRDefault="00D5005C" w:rsidP="00E942DB">
      <w:pPr>
        <w:spacing w:line="240" w:lineRule="auto"/>
        <w:ind w:firstLine="709"/>
        <w:jc w:val="both"/>
        <w:rPr>
          <w:rFonts w:ascii="Times New Roman" w:hAnsi="Times New Roman"/>
          <w:sz w:val="28"/>
          <w:szCs w:val="28"/>
        </w:rPr>
      </w:pPr>
      <w:r w:rsidRPr="002369C1">
        <w:rPr>
          <w:rFonts w:ascii="Times New Roman" w:hAnsi="Times New Roman"/>
          <w:sz w:val="28"/>
          <w:szCs w:val="28"/>
        </w:rPr>
        <w:t>Кредитная система Японии состоит из частных, государственных и кооперативных кредитных институтов. Во главе находится Банк Японии, который является не только эмиссионным центром, но и органом, осуществляющим денежно-кредитную политику, регулирование экономики в системе государственно-монополистического капитала; он выполняет также кассовое обслуживание казначейства.</w:t>
      </w:r>
    </w:p>
    <w:p w:rsidR="00D5005C" w:rsidRDefault="00D5005C" w:rsidP="008D3649">
      <w:pPr>
        <w:spacing w:line="240" w:lineRule="auto"/>
        <w:ind w:firstLine="709"/>
        <w:jc w:val="both"/>
        <w:rPr>
          <w:rFonts w:ascii="Times New Roman" w:hAnsi="Times New Roman"/>
          <w:sz w:val="28"/>
          <w:szCs w:val="28"/>
        </w:rPr>
      </w:pPr>
      <w:r w:rsidRPr="002369C1">
        <w:rPr>
          <w:rFonts w:ascii="Times New Roman" w:hAnsi="Times New Roman"/>
          <w:sz w:val="28"/>
          <w:szCs w:val="28"/>
        </w:rPr>
        <w:t>Городские банки являются коммерческими банками и образуют сердцевину кредитной системы. К ним относятся крупнейшие банковские монополии: «Дайити-Кангё», «Мицубиси», «Сумитомо», «Фудзи», «Санва» и др., пользующиеся широкой и систематической поддержкой Банка Японии.</w:t>
      </w:r>
      <w:r w:rsidRPr="002369C1">
        <w:rPr>
          <w:rFonts w:ascii="Times New Roman" w:hAnsi="Times New Roman"/>
          <w:sz w:val="28"/>
          <w:szCs w:val="28"/>
        </w:rPr>
        <w:br/>
        <w:t>Местные банки также являются коммерческими банками, но они уступают городским по объему капитала и масштабам операций. В послевоенный период зависимость местных банков от крупнейших монополистических банков увеличилась. Банки долгосрочного кредита мобилизуют капитал главным образом с помощью эмиссии собственных облигаций; в периоды, когда коммерческие банки японских монополий переключались на краткосрочный кредит, значение этих банков возросло. В число частных кредитных институтов входят 20 компаний по страхованию жизни и 22 — по страхованию имущества, 236 компаний по операциям с ценными бумагами.</w:t>
      </w:r>
      <w:r w:rsidRPr="002369C1">
        <w:rPr>
          <w:rFonts w:ascii="Times New Roman" w:hAnsi="Times New Roman"/>
          <w:sz w:val="28"/>
          <w:szCs w:val="28"/>
        </w:rPr>
        <w:br/>
        <w:t xml:space="preserve">К государственным институтам относится прежде всего Бюро доверительного фонда министерства финансов, являющееся одним из крупнейших банков Японии и оперирующее капиталами государственных страховых систем и почтово-сберегательных касс. К ним принадлежат государственные банки и финансовые корпорации. Поскольку в государственных системах страхования здоровья, жизни, пенсионного обеспечения сумма взносов намного больше выплат, разница ежегодно пополняет кредитные ресурсы государства, являясь по существу одной из разновидностей налогового обложения. Вместе с остатком вкладов в системе, почтовых сбережений (сберегательные кассы) и ассигнованиями из бюджета эти средства используются в рамках ежегодных государственных кредитно-инвестиционных программ в интересах монополистического капитала. Распоряжаются ими государственные кредитно-инвестиционные институты, главным из которых является Бюро доверительного фонда. </w:t>
      </w:r>
    </w:p>
    <w:p w:rsidR="00D5005C" w:rsidRDefault="00D5005C" w:rsidP="008D3649">
      <w:pPr>
        <w:spacing w:line="240" w:lineRule="auto"/>
        <w:ind w:firstLine="709"/>
        <w:jc w:val="both"/>
        <w:rPr>
          <w:rFonts w:ascii="Times New Roman" w:hAnsi="Times New Roman"/>
          <w:sz w:val="28"/>
          <w:szCs w:val="28"/>
        </w:rPr>
      </w:pPr>
      <w:r w:rsidRPr="002369C1">
        <w:rPr>
          <w:rFonts w:ascii="Times New Roman" w:hAnsi="Times New Roman"/>
          <w:sz w:val="28"/>
          <w:szCs w:val="28"/>
        </w:rPr>
        <w:t>В настоящее время, помимо Банка Японии, функционируют два государственных банка и 9 финансовых корпораций. Японский банк развития занимается долгосрочным кредитованием промышленности, транспорта, энергетики. Экспортно-импортный банк Японии кредитует внешнюю торговлю и заграничные инвестиции и кредиты.</w:t>
      </w:r>
    </w:p>
    <w:p w:rsidR="00D5005C" w:rsidRDefault="00D5005C" w:rsidP="008D3649">
      <w:pPr>
        <w:spacing w:line="240" w:lineRule="auto"/>
        <w:ind w:firstLine="709"/>
        <w:jc w:val="both"/>
        <w:rPr>
          <w:rFonts w:ascii="Times New Roman" w:hAnsi="Times New Roman"/>
          <w:sz w:val="28"/>
          <w:szCs w:val="28"/>
        </w:rPr>
      </w:pPr>
      <w:r w:rsidRPr="002369C1">
        <w:rPr>
          <w:rFonts w:ascii="Times New Roman" w:hAnsi="Times New Roman"/>
          <w:sz w:val="28"/>
          <w:szCs w:val="28"/>
        </w:rPr>
        <w:t>Государственные банки и финансовые корпорации функционируют в тех отраслях, в кредитовании которых частные банки не заинтересованы, но развитие которых необходимо для всего процесса воспроизводства в целом, а также с социально-политической точки зрения.</w:t>
      </w:r>
    </w:p>
    <w:p w:rsidR="00D5005C" w:rsidRDefault="00D5005C" w:rsidP="008D3649">
      <w:pPr>
        <w:spacing w:line="240" w:lineRule="auto"/>
        <w:ind w:firstLine="709"/>
        <w:jc w:val="both"/>
        <w:rPr>
          <w:rFonts w:ascii="Times New Roman" w:hAnsi="Times New Roman"/>
          <w:sz w:val="28"/>
          <w:szCs w:val="28"/>
        </w:rPr>
      </w:pPr>
      <w:r w:rsidRPr="002369C1">
        <w:rPr>
          <w:rFonts w:ascii="Times New Roman" w:hAnsi="Times New Roman"/>
          <w:sz w:val="28"/>
          <w:szCs w:val="28"/>
        </w:rPr>
        <w:t>В послевоенный период процесс концентрации и централизации в сфере кредита происходил не в форме слияний и сокращения числа банков, а в форме расширившегося использования монополистическим капиталом кредитных ресурсов государства, с одной стороны, и страховой, сберегательн</w:t>
      </w:r>
      <w:r>
        <w:rPr>
          <w:rFonts w:ascii="Times New Roman" w:hAnsi="Times New Roman"/>
          <w:sz w:val="28"/>
          <w:szCs w:val="28"/>
        </w:rPr>
        <w:t>ой системы и кооперати</w:t>
      </w:r>
      <w:r w:rsidRPr="002369C1">
        <w:rPr>
          <w:rFonts w:ascii="Times New Roman" w:hAnsi="Times New Roman"/>
          <w:sz w:val="28"/>
          <w:szCs w:val="28"/>
        </w:rPr>
        <w:t>вов — с другой. Одновременно были приняты меры для расширения импорта в Японию иностранных капиталов. Это имело большое значение в период научно-технической революции и продолжающейся структурной модернизации экономики.</w:t>
      </w:r>
      <w:r w:rsidRPr="002369C1">
        <w:rPr>
          <w:rFonts w:ascii="Times New Roman" w:hAnsi="Times New Roman"/>
          <w:sz w:val="28"/>
          <w:szCs w:val="28"/>
        </w:rPr>
        <w:br/>
        <w:t>С 1950 г. по март 1976 г. было заключено 28 тыс. таких контрактов. Наряду с этим увеличился экспорт японских капиталов за границу, особенно со второй половины 60-х годов, когд</w:t>
      </w:r>
      <w:r>
        <w:rPr>
          <w:rFonts w:ascii="Times New Roman" w:hAnsi="Times New Roman"/>
          <w:sz w:val="28"/>
          <w:szCs w:val="28"/>
        </w:rPr>
        <w:t>а Япония превратилась из нетто-</w:t>
      </w:r>
      <w:r w:rsidRPr="002369C1">
        <w:rPr>
          <w:rFonts w:ascii="Times New Roman" w:hAnsi="Times New Roman"/>
          <w:sz w:val="28"/>
          <w:szCs w:val="28"/>
        </w:rPr>
        <w:t>импортера в нетто-экспортера капитала. Главными сферами вывоза японских капиталов являются страны американского континента, Южной и Юго-Восточной Азии. Растет активность японских фирм на Ближнем и Среднем Востоке и в Африке. Прямые инвестиции к 1976 г. достигли 15 млрд. долл</w:t>
      </w:r>
      <w:r>
        <w:rPr>
          <w:rFonts w:ascii="Times New Roman" w:hAnsi="Times New Roman"/>
          <w:sz w:val="28"/>
          <w:szCs w:val="28"/>
        </w:rPr>
        <w:t>.</w:t>
      </w:r>
    </w:p>
    <w:p w:rsidR="00D5005C" w:rsidRDefault="00D5005C" w:rsidP="008D3649">
      <w:pPr>
        <w:spacing w:line="240" w:lineRule="auto"/>
        <w:ind w:firstLine="709"/>
        <w:jc w:val="both"/>
        <w:rPr>
          <w:rFonts w:ascii="Times New Roman" w:hAnsi="Times New Roman"/>
          <w:sz w:val="28"/>
          <w:szCs w:val="28"/>
        </w:rPr>
      </w:pPr>
      <w:r w:rsidRPr="002369C1">
        <w:rPr>
          <w:rFonts w:ascii="Times New Roman" w:hAnsi="Times New Roman"/>
          <w:sz w:val="28"/>
          <w:szCs w:val="28"/>
        </w:rPr>
        <w:t>Привлечение ссудного капитала в форме фиктивного капитала обходится дороже, чем в форме учета векселей и банковских ссуд. Это объясняет сдвиг в пользу последних: в 1976 г. средняя норма ссудного процента по всем банкам (учет и ссуды) составляла 8,2, средний дивиденд—12,4%. Кроме того, по действующему законодательству проценты, выплачиваемые по кредитам, в отличие от дивидендов налогами не облагаются, поскольку рассматриваются как оперативные расходы</w:t>
      </w:r>
    </w:p>
    <w:p w:rsidR="00D5005C" w:rsidRDefault="00D5005C" w:rsidP="008D3649">
      <w:pPr>
        <w:spacing w:line="240" w:lineRule="auto"/>
        <w:ind w:firstLine="709"/>
        <w:jc w:val="both"/>
        <w:rPr>
          <w:rFonts w:ascii="Times New Roman" w:hAnsi="Times New Roman"/>
          <w:sz w:val="28"/>
          <w:szCs w:val="28"/>
        </w:rPr>
      </w:pPr>
      <w:r w:rsidRPr="002369C1">
        <w:rPr>
          <w:rFonts w:ascii="Times New Roman" w:hAnsi="Times New Roman"/>
          <w:sz w:val="28"/>
          <w:szCs w:val="28"/>
        </w:rPr>
        <w:t>В ходе послевоенной перестройки монополистические объединения в Японии — «Мицубиси», «Сумитомо», «Мицуи», «Фудзи», «Дайити — Кангё», «Санва» — приняли форму финансово-монополистических групп, банки превратились в их центры.</w:t>
      </w:r>
    </w:p>
    <w:p w:rsidR="00D5005C" w:rsidRPr="002369C1" w:rsidRDefault="00D5005C" w:rsidP="0055785E">
      <w:pPr>
        <w:spacing w:line="240" w:lineRule="auto"/>
        <w:ind w:firstLine="709"/>
        <w:jc w:val="center"/>
        <w:rPr>
          <w:rFonts w:ascii="Times New Roman" w:hAnsi="Times New Roman"/>
          <w:b/>
          <w:bCs/>
          <w:sz w:val="28"/>
          <w:szCs w:val="28"/>
        </w:rPr>
      </w:pPr>
      <w:r w:rsidRPr="002369C1">
        <w:rPr>
          <w:rFonts w:ascii="Times New Roman" w:hAnsi="Times New Roman"/>
          <w:b/>
          <w:bCs/>
          <w:sz w:val="28"/>
          <w:szCs w:val="28"/>
        </w:rPr>
        <w:t>Государственно-монополистический капитализм в кредитной системе Японии</w:t>
      </w:r>
      <w:r>
        <w:rPr>
          <w:rFonts w:ascii="Times New Roman" w:hAnsi="Times New Roman"/>
          <w:b/>
          <w:bCs/>
          <w:sz w:val="28"/>
          <w:szCs w:val="28"/>
        </w:rPr>
        <w:t>.</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условиях государственно-монополистического капитализма роль кредита в качестве орудия регулирования экономики значительно возросла. Проведению денежно-кредитного регулирования способствует то обстоятельство, что государству принадлежат сильные позиции в кредитной системе. В государственной собственности находятся два банка, девять кредитных корпораций, страховая, пенсионная и сберегательная системы и некоторые другие институты. На государственные институты в 1974 г. приходилось 16,7% общей суммы депозитов, 22,8% ссуд и учетных операций и 24,7% портфеля ценных бумаг всей кредитной системы.</w:t>
      </w:r>
      <w:r w:rsidRPr="002369C1">
        <w:rPr>
          <w:rFonts w:ascii="Times New Roman" w:hAnsi="Times New Roman"/>
          <w:sz w:val="28"/>
          <w:szCs w:val="28"/>
        </w:rPr>
        <w:br/>
        <w:t>Денежно-кредитное регулирование осуществляется через Банк Японии, министерство финансов, Федерацию экономических организаций («Кэйданрэн») — крупнейшую организацию японских монополистов и т. п. Основными методами денежно-кредитного регулирования являются изменение нормы ссудного процента, система обязательных депозитных резервов, операции на рынке ценных бумаг, административные меры, проводимые Банком Японии через кредитную систему.</w:t>
      </w:r>
      <w:r w:rsidRPr="002369C1">
        <w:rPr>
          <w:rFonts w:ascii="Times New Roman" w:hAnsi="Times New Roman"/>
          <w:sz w:val="28"/>
          <w:szCs w:val="28"/>
        </w:rPr>
        <w:br/>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В условиях подъема рост инвестиций и производства сопровождается расширением спроса на сырье, топливо и т. п., а учитывая высокую степень зависимости Японии от импорта, это означает необходимость расширения их ввоза из-за границы. До второй половины 60-х годов импорт обычно рос быстрее экспорта, что периодически приводило к дефициту платежного баланса. В этой обстановке власти принимали меры к сокращению импорта, стимулированию экспорта, нормализации торгового и платежного баланса. Одним из орудий регулирования были кредитные рестрикции. Ограничение кредита путем повышения ссудного процента и введения других регламентации способствовало уменьшению инвестиций, замедлению темпов роста производства.</w:t>
      </w:r>
    </w:p>
    <w:p w:rsidR="00D5005C" w:rsidRDefault="00D5005C" w:rsidP="002369C1">
      <w:pPr>
        <w:spacing w:line="240" w:lineRule="auto"/>
        <w:ind w:firstLine="709"/>
        <w:jc w:val="both"/>
        <w:rPr>
          <w:rFonts w:ascii="Times New Roman" w:hAnsi="Times New Roman"/>
          <w:sz w:val="28"/>
          <w:szCs w:val="28"/>
        </w:rPr>
      </w:pPr>
      <w:r w:rsidRPr="002369C1">
        <w:rPr>
          <w:rFonts w:ascii="Times New Roman" w:hAnsi="Times New Roman"/>
          <w:sz w:val="28"/>
          <w:szCs w:val="28"/>
        </w:rPr>
        <w:t>Ограничения импорта, в том числе путем сокращения его кредитования, сдерживали его рост и вместе с мерами по расширению экспорта способствовали ликвидации дефицитности платежного баланса. На рынке ссудных капиталов в результате кредитных рестрикций их предложение ограничивалось, кредитные возможности банков и других кредитных институтов расширялись, и это создавало условия для снижения нормы ссудного процента. Кредитная экспансия стимулировала рост инвестиций, пока производство не выходило за рамки платежеспособного спроса и не наступал новый спад в экономике.</w:t>
      </w:r>
      <w:r w:rsidRPr="002369C1">
        <w:rPr>
          <w:rFonts w:ascii="Times New Roman" w:hAnsi="Times New Roman"/>
          <w:sz w:val="28"/>
          <w:szCs w:val="28"/>
        </w:rPr>
        <w:br/>
        <w:t>Опыт показывает, что применение методов кредитного регулирования в период спадов зависит от состояния платежного баланса и величины золото-валютных резервов: если баланс дефицитен и резервы малы, применяются методы кредитной рестрикции, и наоборот, при активном сальдо платежного баланса и больших резервах власти в целях стимулирования спроса и производства, как правило, прибегали к кредитной экспансии. Такая политика проводилась в Японии со второй половины 60-х годов. Если политика кредитной рестрикции применяется в фазе подъема, то она тормозит рост инвестиций и в следующем цикле влечет за собой меньшую интенсивность спада производства. Если же в фазе подъема проводится политика кредитной экспансии, форсирования инвестиций, то в следующем цикле это способно обернуться усилением экономических противоречий и трудностей, сопутствующих очередному спаду в экономике. Денежно-кредитные методы экономического регулирования в лучшем случае могут смягчить трудности, но они бессильны устранить коренные причины, порождающие противоречия японской экономики, развитие которых сопровождается обострением классовых антагонизмов и классовой борьбы.</w:t>
      </w:r>
    </w:p>
    <w:p w:rsidR="00D5005C" w:rsidRDefault="00D5005C" w:rsidP="00EB091C">
      <w:pPr>
        <w:spacing w:line="240" w:lineRule="auto"/>
        <w:ind w:firstLine="709"/>
        <w:jc w:val="center"/>
        <w:rPr>
          <w:rFonts w:ascii="Times New Roman" w:hAnsi="Times New Roman"/>
          <w:b/>
          <w:sz w:val="28"/>
          <w:szCs w:val="28"/>
        </w:rPr>
      </w:pPr>
      <w:r>
        <w:rPr>
          <w:rFonts w:ascii="Times New Roman" w:hAnsi="Times New Roman"/>
          <w:b/>
          <w:sz w:val="28"/>
          <w:szCs w:val="28"/>
        </w:rPr>
        <w:t>Денежные единицы Японии</w:t>
      </w:r>
      <w:r w:rsidRPr="00EB091C">
        <w:rPr>
          <w:rFonts w:ascii="Times New Roman" w:hAnsi="Times New Roman"/>
          <w:b/>
          <w:sz w:val="28"/>
          <w:szCs w:val="28"/>
        </w:rPr>
        <w:t>.</w:t>
      </w:r>
    </w:p>
    <w:tbl>
      <w:tblPr>
        <w:tblW w:w="0" w:type="auto"/>
        <w:tblCellSpacing w:w="15" w:type="dxa"/>
        <w:tblCellMar>
          <w:left w:w="0" w:type="dxa"/>
          <w:right w:w="0" w:type="dxa"/>
        </w:tblCellMar>
        <w:tblLook w:val="00A0" w:firstRow="1" w:lastRow="0" w:firstColumn="1" w:lastColumn="0" w:noHBand="0" w:noVBand="0"/>
      </w:tblPr>
      <w:tblGrid>
        <w:gridCol w:w="9565"/>
      </w:tblGrid>
      <w:tr w:rsidR="00D5005C" w:rsidRPr="0079452C" w:rsidTr="00EB091C">
        <w:trPr>
          <w:tblCellSpacing w:w="15" w:type="dxa"/>
        </w:trPr>
        <w:tc>
          <w:tcPr>
            <w:tcW w:w="0" w:type="auto"/>
            <w:tcBorders>
              <w:top w:val="nil"/>
              <w:left w:val="nil"/>
              <w:bottom w:val="nil"/>
              <w:right w:val="nil"/>
            </w:tcBorders>
            <w:tcMar>
              <w:top w:w="0" w:type="dxa"/>
              <w:left w:w="150" w:type="dxa"/>
              <w:bottom w:w="0" w:type="dxa"/>
              <w:right w:w="0" w:type="dxa"/>
            </w:tcMar>
            <w:vAlign w:val="center"/>
          </w:tcPr>
          <w:p w:rsidR="00D5005C" w:rsidRPr="00EB091C" w:rsidRDefault="00D5005C" w:rsidP="00EB091C">
            <w:pPr>
              <w:spacing w:after="0" w:line="240" w:lineRule="auto"/>
              <w:ind w:firstLine="709"/>
              <w:rPr>
                <w:rFonts w:ascii="Times New Roman" w:hAnsi="Times New Roman"/>
                <w:sz w:val="28"/>
                <w:szCs w:val="28"/>
                <w:lang w:eastAsia="ru-RU"/>
              </w:rPr>
            </w:pPr>
            <w:r w:rsidRPr="00EB091C">
              <w:rPr>
                <w:rFonts w:ascii="Times New Roman" w:hAnsi="Times New Roman"/>
                <w:sz w:val="28"/>
                <w:szCs w:val="28"/>
                <w:lang w:eastAsia="ru-RU"/>
              </w:rPr>
              <w:t>Вплоть до 1945 года правительство Японии строило свою денежную политику исходя из того, что деньгами являются монеты и бумажные банкноты (или иные их исторические варианты) в обращении. Власти решали экономические задачи — например, пополнение бюджета, противодействие обесцениванию денег и росту цен, стимулирование производства или внешней торговли — путем регулирования веса и размера монет; содержания ценных металлов в монетах; изменения номинала денег, а также дизайна и технологии изготовления денежных знаков. Но примерно в середине XX века в разряд денег, причем не только в Японии, попали самые разнообразные банковские депозиты, денежные сертификаты, а также другие финансовые документы. В довершение к этому под влиянием всемирного технического прогресса деньги стали "электронными", а операции с ними значительно упростились…</w:t>
            </w:r>
          </w:p>
        </w:tc>
      </w:tr>
    </w:tbl>
    <w:p w:rsidR="00D5005C" w:rsidRDefault="00D5005C" w:rsidP="00EB091C">
      <w:pPr>
        <w:spacing w:after="0" w:line="240" w:lineRule="auto"/>
        <w:ind w:firstLine="709"/>
        <w:jc w:val="center"/>
        <w:outlineLvl w:val="1"/>
        <w:rPr>
          <w:rFonts w:ascii="Times New Roman" w:hAnsi="Times New Roman"/>
          <w:b/>
          <w:bCs/>
          <w:sz w:val="28"/>
          <w:szCs w:val="28"/>
          <w:lang w:eastAsia="ru-RU"/>
        </w:rPr>
      </w:pPr>
      <w:r w:rsidRPr="00EB091C">
        <w:rPr>
          <w:rFonts w:ascii="Times New Roman" w:hAnsi="Times New Roman"/>
          <w:b/>
          <w:bCs/>
          <w:sz w:val="28"/>
          <w:szCs w:val="28"/>
          <w:lang w:eastAsia="ru-RU"/>
        </w:rPr>
        <w:t>Новые послевоенные деньги</w:t>
      </w:r>
      <w:r>
        <w:rPr>
          <w:rFonts w:ascii="Times New Roman" w:hAnsi="Times New Roman"/>
          <w:b/>
          <w:bCs/>
          <w:sz w:val="28"/>
          <w:szCs w:val="28"/>
          <w:lang w:eastAsia="ru-RU"/>
        </w:rPr>
        <w:t>.</w:t>
      </w:r>
    </w:p>
    <w:p w:rsidR="00D5005C" w:rsidRPr="00EB091C" w:rsidRDefault="00D5005C" w:rsidP="00EB091C">
      <w:pPr>
        <w:spacing w:after="0" w:line="240" w:lineRule="auto"/>
        <w:ind w:firstLine="709"/>
        <w:jc w:val="center"/>
        <w:outlineLvl w:val="1"/>
        <w:rPr>
          <w:rFonts w:ascii="Times New Roman" w:hAnsi="Times New Roman"/>
          <w:b/>
          <w:bCs/>
          <w:sz w:val="28"/>
          <w:szCs w:val="28"/>
          <w:lang w:eastAsia="ru-RU"/>
        </w:rPr>
      </w:pPr>
    </w:p>
    <w:p w:rsidR="00D5005C" w:rsidRPr="00EB091C" w:rsidRDefault="00D5005C" w:rsidP="00EB091C">
      <w:pPr>
        <w:spacing w:after="0" w:line="240" w:lineRule="auto"/>
        <w:ind w:firstLine="709"/>
        <w:jc w:val="both"/>
        <w:rPr>
          <w:rFonts w:ascii="Times New Roman" w:hAnsi="Times New Roman"/>
          <w:sz w:val="28"/>
          <w:szCs w:val="28"/>
          <w:lang w:eastAsia="ru-RU"/>
        </w:rPr>
      </w:pPr>
      <w:r w:rsidRPr="00EB091C">
        <w:rPr>
          <w:rFonts w:ascii="Times New Roman" w:hAnsi="Times New Roman"/>
          <w:sz w:val="28"/>
          <w:szCs w:val="28"/>
          <w:lang w:eastAsia="ru-RU"/>
        </w:rPr>
        <w:t>После окончания второй мировой войны новые бумажные японские деньги решением правительства были отпечатаны в 1946 году. Это были купюры достоинством в 1000, 100, 10, 5 и 1 иену. Правда, банкноты в 1000 иен так и не были выпущены в обращение. Все эти бумажные деньги относились к банкнотам серии А. Но как только хозяйство Японии вступило на тропу экономического подъема, стране потребовались деньги более высокого номинала. Уже в 1950 году в обращение были выпущены новые банкноты в 1000 иен, в 1957-м — в 5000 иен, в 1958-м — в 10 000 иен. Последняя бумажная купюра, по номиналу, и поныне остается самой крупной в стране. В 1951 году этот японский денежный ряд был также дополнен купюрами в 50 и 500 иен. А в 2000 году — в 2000 иен. Все указанные изменения диктовались экономической ситуацией в Японии, темпами инфляции, удобством размена и т.п.</w:t>
      </w:r>
    </w:p>
    <w:p w:rsidR="00D5005C" w:rsidRDefault="00D5005C" w:rsidP="00EB091C">
      <w:pPr>
        <w:spacing w:after="0" w:line="240" w:lineRule="auto"/>
        <w:ind w:firstLine="709"/>
        <w:jc w:val="both"/>
        <w:rPr>
          <w:rFonts w:ascii="Times New Roman" w:hAnsi="Times New Roman"/>
          <w:sz w:val="28"/>
          <w:szCs w:val="28"/>
          <w:lang w:eastAsia="ru-RU"/>
        </w:rPr>
      </w:pPr>
      <w:r w:rsidRPr="00EB091C">
        <w:rPr>
          <w:rFonts w:ascii="Times New Roman" w:hAnsi="Times New Roman"/>
          <w:sz w:val="28"/>
          <w:szCs w:val="28"/>
          <w:lang w:eastAsia="ru-RU"/>
        </w:rPr>
        <w:t>Бумажные денежные знаки были дополнены коллекцией монет, которые выпускались и поныне выпускаются из разных металлических сплавов. В 1946 году были отчеканены монеты в 5, 10 и 50 сэн (100 сэн = 1 иене). Но в связи с инфляцией в 1953 году их вывели из денежного обращения. Некоторые бумажные купюры со временем также превратились в металлические деньги. В 194</w:t>
      </w:r>
      <w:r>
        <w:rPr>
          <w:rFonts w:ascii="Times New Roman" w:hAnsi="Times New Roman"/>
          <w:sz w:val="28"/>
          <w:szCs w:val="28"/>
          <w:lang w:eastAsia="ru-RU"/>
        </w:rPr>
        <w:t>8 году это произошло с некоторыми купюрами</w:t>
      </w:r>
      <w:r w:rsidRPr="00EB091C">
        <w:rPr>
          <w:rFonts w:ascii="Times New Roman" w:hAnsi="Times New Roman"/>
          <w:sz w:val="28"/>
          <w:szCs w:val="28"/>
          <w:lang w:eastAsia="ru-RU"/>
        </w:rPr>
        <w:t xml:space="preserve">. Самые свежие банкноты (1000, 5000, 10 000 иен) 2004 года относятся к новейшей серии Е. </w:t>
      </w:r>
    </w:p>
    <w:p w:rsidR="00D5005C" w:rsidRPr="00EB091C" w:rsidRDefault="00D5005C" w:rsidP="00EB091C">
      <w:pPr>
        <w:spacing w:after="0" w:line="240" w:lineRule="auto"/>
        <w:ind w:firstLine="709"/>
        <w:jc w:val="both"/>
        <w:rPr>
          <w:rFonts w:ascii="Times New Roman" w:hAnsi="Times New Roman"/>
          <w:sz w:val="28"/>
          <w:szCs w:val="28"/>
          <w:lang w:eastAsia="ru-RU"/>
        </w:rPr>
      </w:pPr>
      <w:r w:rsidRPr="00EB091C">
        <w:rPr>
          <w:rFonts w:ascii="Times New Roman" w:hAnsi="Times New Roman"/>
          <w:sz w:val="28"/>
          <w:szCs w:val="28"/>
          <w:lang w:eastAsia="ru-RU"/>
        </w:rPr>
        <w:t>В послевоенные годы в дизайне японских купюр основной упор был сделан на изображения представителей не правящей, но интеллектуальной элиты страны (заметим, что сам император, за исключением мифической императрицы Дзингу, по японской традиции, на бумажных деньгах никогда не изображался). Так, на послевоенных купюрах появились Сётоку Ниномия, Тайсукэ Итагаки, Корэкие Такахаси, Томоми Ивакура, Хиробуми Ито, Инадзо Нитобэ, Сосэки Нацумэ, Юкити Фукидзава. На купюрах 2004 года к этому списку добавились Итио Хигути, Хидэо Ногути, Мурасаки Сикибу. Оборотную сторону купюр украсили памятниками культуры (статуя феникса из храма Бёдоин), известными пейзажами (гора Фудзи), некоторыми представителями животного мира Японских островов (такими, как фазаны и журавли), а также литературными сценами (из романа "Гэндзи моногатари") и картинами (художник Корин Огата).</w:t>
      </w:r>
    </w:p>
    <w:p w:rsidR="00D5005C" w:rsidRPr="00EB091C" w:rsidRDefault="00D5005C" w:rsidP="00EB091C">
      <w:pPr>
        <w:spacing w:after="0" w:line="240" w:lineRule="auto"/>
        <w:ind w:firstLine="709"/>
        <w:jc w:val="center"/>
        <w:outlineLvl w:val="1"/>
        <w:rPr>
          <w:rFonts w:ascii="Times New Roman" w:hAnsi="Times New Roman"/>
          <w:b/>
          <w:bCs/>
          <w:sz w:val="28"/>
          <w:szCs w:val="28"/>
          <w:lang w:eastAsia="ru-RU"/>
        </w:rPr>
      </w:pPr>
      <w:r w:rsidRPr="00EB091C">
        <w:rPr>
          <w:rFonts w:ascii="Times New Roman" w:hAnsi="Times New Roman"/>
          <w:b/>
          <w:bCs/>
          <w:sz w:val="28"/>
          <w:szCs w:val="28"/>
          <w:lang w:eastAsia="ru-RU"/>
        </w:rPr>
        <w:t>Определение современных денег</w:t>
      </w:r>
      <w:r>
        <w:rPr>
          <w:rFonts w:ascii="Times New Roman" w:hAnsi="Times New Roman"/>
          <w:b/>
          <w:bCs/>
          <w:sz w:val="28"/>
          <w:szCs w:val="28"/>
          <w:lang w:eastAsia="ru-RU"/>
        </w:rPr>
        <w:t>.</w:t>
      </w:r>
    </w:p>
    <w:p w:rsidR="00D5005C" w:rsidRPr="00EB091C" w:rsidRDefault="00D5005C" w:rsidP="00EB091C">
      <w:pPr>
        <w:spacing w:after="0" w:line="240" w:lineRule="auto"/>
        <w:ind w:firstLine="709"/>
        <w:jc w:val="both"/>
        <w:rPr>
          <w:rFonts w:ascii="Times New Roman" w:hAnsi="Times New Roman"/>
          <w:sz w:val="28"/>
          <w:szCs w:val="28"/>
          <w:lang w:eastAsia="ru-RU"/>
        </w:rPr>
      </w:pPr>
      <w:r w:rsidRPr="00EB091C">
        <w:rPr>
          <w:rFonts w:ascii="Times New Roman" w:hAnsi="Times New Roman"/>
          <w:sz w:val="28"/>
          <w:szCs w:val="28"/>
          <w:lang w:eastAsia="ru-RU"/>
        </w:rPr>
        <w:t>В Японии для описания положения дел на денежном и финансовом рынках, а также при разработке мер политики правительства в кредитно-денежной сфере используются четыре индикатора. В них все виды современных денег расположены по степени ликвидности, то есть по скорости превращения в наличность или их пригодности для быстрого осуществления платежа. Первый такой индекс — наличность и банковские депозиты — в Японии был рассчитан в 1949 году. В 1955 году финансисты разработали прообраз нынешних показателей, в который вносились коррективы с периодичностью примерно раз в десять лет. Сегодня первый показатель — М1. Данный индекс определяется как деньги на руках населения (монеты и банкноты в обращении) плюс депозиты до востребования на счетах в финансовых учреждениях. В разряд депозитов до востребования зачислены текущие депозиты, обычные депозиты, сберегательные депозиты, депозиты до уведомления, специальные депозиты, налоговые депозиты, а также чеки и векселя в распоряжении финансовых институтов. Собственно говоря, М1 сегодня и есть наличные деньги. Однако в самом узком понимании к наличным относят монеты и банкноты на руках у населения, но не в хранилищах финансовых институтов. Второй — показатель М2+СD. Он состоит из показателя М1, к которому добавляются квазиденьги, то есть срочные депозиты, а также отсроченные сбережения, рассроченные сбережения, депозиты нерезидентов (не граждан) в иенах и депозиты в иностранной валюте, депозитные сертификаты (бумаги, дающие, на определенных условиях права на деньги в банковском депозите) японских банков и финансовых институтов.</w:t>
      </w:r>
    </w:p>
    <w:p w:rsidR="00D5005C" w:rsidRPr="00EB091C" w:rsidRDefault="00D5005C" w:rsidP="00EB091C">
      <w:pPr>
        <w:spacing w:after="0" w:line="240" w:lineRule="auto"/>
        <w:ind w:firstLine="709"/>
        <w:jc w:val="both"/>
        <w:rPr>
          <w:rFonts w:ascii="Times New Roman" w:hAnsi="Times New Roman"/>
          <w:sz w:val="28"/>
          <w:szCs w:val="28"/>
          <w:lang w:eastAsia="ru-RU"/>
        </w:rPr>
      </w:pPr>
      <w:r w:rsidRPr="00EB091C">
        <w:rPr>
          <w:rFonts w:ascii="Times New Roman" w:hAnsi="Times New Roman"/>
          <w:sz w:val="28"/>
          <w:szCs w:val="28"/>
          <w:lang w:eastAsia="ru-RU"/>
        </w:rPr>
        <w:t>Единственное существенное отличие второго показателя от первого состоит в том, что деньгами на так называемых срочных депозитах можно воспользоваться только по истечении оговоренного времени. Третий — М3+CD. Он состоит из М2, к которому в Японии плюсуются депозиты на счетах почтовых учреждений (на Японских островах длительное время почта выполняла функцию своего рода сберегательного банка), прочие сбережения и депозиты в разнообразных финансовых учреждениях страны (кредитные кооперативы, трудовые кредитные ассоциации, сельскохозяйственные кооперативы, рыболовецкие кооперативы и т.п.), а также деньги в доверительном управлении (траст). Четвертый показатель — широко определяемая ликвидность. Здесь японцы к М3+CD добавляют финансовые средства, временно находящиеся в доверительном управлении (кроме собственно денег в доверительном управлении), инвестиции в доверительном управлении, банковские дебентуры (банковские обязательства), коммерческие бумаги финансовых институтов, соглашения о выкупе (деньги в обмен на ценные бумаги с обязательством последующего выкупа) и ссудные бумаги, обеспеченные наличными в залоге, а также правительственные (японские) и иностранные облигации. Выпуск всех этих денег и финансовых инструментов осуществляют так называемые денежные эмитенты. Сегодня к этой категории в Токио относят Банк Японии (центральный банк страны, осуществляющий регулирование денежного обращения), лицензированные коммерческие японские банки, действующие в стране иностранные банки, банки системы кооперативного кредитования, специализированный банк для кредитования предприятий сельского, лесного и рыбного хозяйств, а также специализированные торгово-промышленные кооперативные банки.</w:t>
      </w:r>
    </w:p>
    <w:p w:rsidR="00D5005C" w:rsidRPr="00EB091C" w:rsidRDefault="00D5005C" w:rsidP="00EB091C">
      <w:pPr>
        <w:spacing w:after="0" w:line="240" w:lineRule="auto"/>
        <w:ind w:firstLine="709"/>
        <w:jc w:val="center"/>
        <w:outlineLvl w:val="1"/>
        <w:rPr>
          <w:rFonts w:ascii="Times New Roman" w:hAnsi="Times New Roman"/>
          <w:b/>
          <w:bCs/>
          <w:sz w:val="28"/>
          <w:szCs w:val="28"/>
          <w:lang w:eastAsia="ru-RU"/>
        </w:rPr>
      </w:pPr>
      <w:r w:rsidRPr="00EB091C">
        <w:rPr>
          <w:rFonts w:ascii="Times New Roman" w:hAnsi="Times New Roman"/>
          <w:b/>
          <w:bCs/>
          <w:sz w:val="28"/>
          <w:szCs w:val="28"/>
          <w:lang w:eastAsia="ru-RU"/>
        </w:rPr>
        <w:t>Деньги и проблемы роста</w:t>
      </w:r>
      <w:r>
        <w:rPr>
          <w:rFonts w:ascii="Times New Roman" w:hAnsi="Times New Roman"/>
          <w:b/>
          <w:bCs/>
          <w:sz w:val="28"/>
          <w:szCs w:val="28"/>
          <w:lang w:eastAsia="ru-RU"/>
        </w:rPr>
        <w:t>.</w:t>
      </w:r>
    </w:p>
    <w:p w:rsidR="00D5005C" w:rsidRPr="00EB091C" w:rsidRDefault="00D5005C" w:rsidP="00EB091C">
      <w:pPr>
        <w:spacing w:after="0" w:line="240" w:lineRule="auto"/>
        <w:ind w:firstLine="709"/>
        <w:jc w:val="both"/>
        <w:rPr>
          <w:rFonts w:ascii="Times New Roman" w:hAnsi="Times New Roman"/>
          <w:sz w:val="28"/>
          <w:szCs w:val="28"/>
          <w:lang w:eastAsia="ru-RU"/>
        </w:rPr>
      </w:pPr>
      <w:r w:rsidRPr="00EB091C">
        <w:rPr>
          <w:rFonts w:ascii="Times New Roman" w:hAnsi="Times New Roman"/>
          <w:sz w:val="28"/>
          <w:szCs w:val="28"/>
          <w:lang w:eastAsia="ru-RU"/>
        </w:rPr>
        <w:t>Общий курс правительства выражался в том, что контроль над финансовой сферой в Японии неуклонно ослабевал. Такая политика властей привела к тому, что значительные финансовые средства были "вырваны" из производительного процесса с целью достижения сверхприбыли путем спекуляций на финансовых и земельных рынках, на которых ослабевали ограничения. Спекулятивная потребность в деньгах вызвала рост объемов кредитования и увеличение денежной массы, оторвавшейся как от производства, так и от товарных цен. Однако на фондовом рынке в начале 90-х годов рост цен прекратился. В итоге многие приобретения эпохи роста цен на землю и акции оказались неликвидными, а выданные под покупку акций и земли банковские кредиты — невозвратными. Страна вступила в десятилетие стагнации, из которой начала потихоньку выходить только в последние годы</w:t>
      </w:r>
      <w:r>
        <w:rPr>
          <w:rFonts w:ascii="Times New Roman" w:hAnsi="Times New Roman"/>
          <w:sz w:val="28"/>
          <w:szCs w:val="28"/>
          <w:lang w:eastAsia="ru-RU"/>
        </w:rPr>
        <w:t xml:space="preserve">. </w:t>
      </w:r>
      <w:r w:rsidRPr="00EB091C">
        <w:rPr>
          <w:rFonts w:ascii="Times New Roman" w:hAnsi="Times New Roman"/>
          <w:sz w:val="28"/>
          <w:szCs w:val="28"/>
          <w:lang w:eastAsia="ru-RU"/>
        </w:rPr>
        <w:t>Иначе говоря, власти вынужденно печатали новые деньги в обмен на долговые обязательства государства (облигации). Через бюджет страны эти денежные средства вливались в экономику, рыночный спрос в которой стремилось подстегнуть правительство. Процентные ставки, под которые Банк Японии ссужает деньги другим банкам и которые, собственно говоря, выражают стоимость японских денег, были снижены до нуля. Такая политика "дешевых денег" была призвана стимулировать инвестиции, повысить темпы роста экономики, поднять уровень зарплат, снизить безработицу. Но только в 2006 году, когда властям показалось, что экономическая ситуация в стране начала устойчиво выправляться, Токио позволил себе пойти на некоторое повышение процентной ставки.</w:t>
      </w:r>
    </w:p>
    <w:p w:rsidR="00D5005C" w:rsidRPr="00EB091C" w:rsidRDefault="00D5005C" w:rsidP="00EB091C">
      <w:pPr>
        <w:spacing w:after="0" w:line="240" w:lineRule="auto"/>
        <w:ind w:firstLine="709"/>
        <w:jc w:val="both"/>
        <w:rPr>
          <w:rFonts w:ascii="Times New Roman" w:hAnsi="Times New Roman"/>
          <w:sz w:val="28"/>
          <w:szCs w:val="28"/>
          <w:lang w:eastAsia="ru-RU"/>
        </w:rPr>
      </w:pPr>
      <w:r w:rsidRPr="00EB091C">
        <w:rPr>
          <w:rFonts w:ascii="Times New Roman" w:hAnsi="Times New Roman"/>
          <w:sz w:val="28"/>
          <w:szCs w:val="28"/>
          <w:lang w:eastAsia="ru-RU"/>
        </w:rPr>
        <w:t>Из Восточной Азии поступают сообщения, что многие государства этого региона всерьез задумались над тем, чтобы выпустить в обращение единую азиатскую валюту. А это, помимо прочего, означает, что, возможно, XXI век в многовековой истории национальных денег Японии будет последним.</w:t>
      </w:r>
    </w:p>
    <w:p w:rsidR="00D5005C" w:rsidRPr="00EB091C" w:rsidRDefault="00D5005C" w:rsidP="00EB091C">
      <w:pPr>
        <w:spacing w:line="240" w:lineRule="auto"/>
        <w:ind w:firstLine="709"/>
        <w:jc w:val="both"/>
        <w:rPr>
          <w:rFonts w:ascii="Times New Roman" w:hAnsi="Times New Roman"/>
          <w:sz w:val="28"/>
          <w:szCs w:val="28"/>
        </w:rPr>
      </w:pPr>
      <w:bookmarkStart w:id="0" w:name="_GoBack"/>
      <w:bookmarkEnd w:id="0"/>
    </w:p>
    <w:sectPr w:rsidR="00D5005C" w:rsidRPr="00EB091C" w:rsidSect="001D2E7F">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05C" w:rsidRDefault="00D5005C" w:rsidP="0055785E">
      <w:pPr>
        <w:spacing w:after="0" w:line="240" w:lineRule="auto"/>
      </w:pPr>
      <w:r>
        <w:separator/>
      </w:r>
    </w:p>
  </w:endnote>
  <w:endnote w:type="continuationSeparator" w:id="0">
    <w:p w:rsidR="00D5005C" w:rsidRDefault="00D5005C" w:rsidP="00557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05C" w:rsidRDefault="00D5005C">
    <w:pPr>
      <w:pStyle w:val="a5"/>
      <w:jc w:val="right"/>
    </w:pPr>
    <w:r>
      <w:fldChar w:fldCharType="begin"/>
    </w:r>
    <w:r>
      <w:instrText xml:space="preserve"> PAGE   \* MERGEFORMAT </w:instrText>
    </w:r>
    <w:r>
      <w:fldChar w:fldCharType="separate"/>
    </w:r>
    <w:r w:rsidR="00F36F2D">
      <w:rPr>
        <w:noProof/>
      </w:rPr>
      <w:t>1</w:t>
    </w:r>
    <w:r>
      <w:fldChar w:fldCharType="end"/>
    </w:r>
  </w:p>
  <w:p w:rsidR="00D5005C" w:rsidRDefault="00D5005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05C" w:rsidRDefault="00D5005C" w:rsidP="0055785E">
      <w:pPr>
        <w:spacing w:after="0" w:line="240" w:lineRule="auto"/>
      </w:pPr>
      <w:r>
        <w:separator/>
      </w:r>
    </w:p>
  </w:footnote>
  <w:footnote w:type="continuationSeparator" w:id="0">
    <w:p w:rsidR="00D5005C" w:rsidRDefault="00D5005C" w:rsidP="005578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69C1"/>
    <w:rsid w:val="001D2E7F"/>
    <w:rsid w:val="002369C1"/>
    <w:rsid w:val="00251667"/>
    <w:rsid w:val="002F5742"/>
    <w:rsid w:val="003B3641"/>
    <w:rsid w:val="0055785E"/>
    <w:rsid w:val="00584374"/>
    <w:rsid w:val="0079452C"/>
    <w:rsid w:val="008D3649"/>
    <w:rsid w:val="009F5182"/>
    <w:rsid w:val="00B56258"/>
    <w:rsid w:val="00D5005C"/>
    <w:rsid w:val="00E942DB"/>
    <w:rsid w:val="00EB091C"/>
    <w:rsid w:val="00EB435A"/>
    <w:rsid w:val="00EC7C44"/>
    <w:rsid w:val="00F36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59AAC7-5FEE-46C8-82C2-2772820F5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E7F"/>
    <w:pPr>
      <w:spacing w:after="200" w:line="276" w:lineRule="auto"/>
    </w:pPr>
    <w:rPr>
      <w:rFonts w:eastAsia="Times New Roman"/>
      <w:sz w:val="22"/>
      <w:szCs w:val="22"/>
      <w:lang w:eastAsia="en-US"/>
    </w:rPr>
  </w:style>
  <w:style w:type="paragraph" w:styleId="2">
    <w:name w:val="heading 2"/>
    <w:basedOn w:val="a"/>
    <w:link w:val="20"/>
    <w:qFormat/>
    <w:rsid w:val="00EB091C"/>
    <w:pPr>
      <w:spacing w:before="100" w:beforeAutospacing="1" w:after="100" w:afterAutospacing="1" w:line="240" w:lineRule="auto"/>
      <w:outlineLvl w:val="1"/>
    </w:pPr>
    <w:rPr>
      <w:rFonts w:ascii="Times New Roman" w:eastAsia="Calibri"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rsid w:val="0055785E"/>
    <w:pPr>
      <w:tabs>
        <w:tab w:val="center" w:pos="4677"/>
        <w:tab w:val="right" w:pos="9355"/>
      </w:tabs>
      <w:spacing w:after="0" w:line="240" w:lineRule="auto"/>
    </w:pPr>
  </w:style>
  <w:style w:type="character" w:customStyle="1" w:styleId="a4">
    <w:name w:val="Верхний колонтитул Знак"/>
    <w:basedOn w:val="a0"/>
    <w:link w:val="a3"/>
    <w:semiHidden/>
    <w:locked/>
    <w:rsid w:val="0055785E"/>
    <w:rPr>
      <w:rFonts w:cs="Times New Roman"/>
    </w:rPr>
  </w:style>
  <w:style w:type="paragraph" w:styleId="a5">
    <w:name w:val="footer"/>
    <w:basedOn w:val="a"/>
    <w:link w:val="a6"/>
    <w:rsid w:val="0055785E"/>
    <w:pPr>
      <w:tabs>
        <w:tab w:val="center" w:pos="4677"/>
        <w:tab w:val="right" w:pos="9355"/>
      </w:tabs>
      <w:spacing w:after="0" w:line="240" w:lineRule="auto"/>
    </w:pPr>
  </w:style>
  <w:style w:type="character" w:customStyle="1" w:styleId="a6">
    <w:name w:val="Нижний колонтитул Знак"/>
    <w:basedOn w:val="a0"/>
    <w:link w:val="a5"/>
    <w:locked/>
    <w:rsid w:val="0055785E"/>
    <w:rPr>
      <w:rFonts w:cs="Times New Roman"/>
    </w:rPr>
  </w:style>
  <w:style w:type="character" w:customStyle="1" w:styleId="20">
    <w:name w:val="Заголовок 2 Знак"/>
    <w:basedOn w:val="a0"/>
    <w:link w:val="2"/>
    <w:locked/>
    <w:rsid w:val="00EB091C"/>
    <w:rPr>
      <w:rFonts w:ascii="Times New Roman" w:hAnsi="Times New Roman" w:cs="Times New Roman"/>
      <w:b/>
      <w:bCs/>
      <w:sz w:val="36"/>
      <w:szCs w:val="36"/>
      <w:lang w:val="x-none" w:eastAsia="ru-RU"/>
    </w:rPr>
  </w:style>
  <w:style w:type="paragraph" w:styleId="a7">
    <w:name w:val="Normal (Web)"/>
    <w:basedOn w:val="a"/>
    <w:semiHidden/>
    <w:rsid w:val="00EB091C"/>
    <w:pPr>
      <w:spacing w:before="100" w:beforeAutospacing="1" w:after="100" w:afterAutospacing="1" w:line="240" w:lineRule="auto"/>
    </w:pPr>
    <w:rPr>
      <w:rFonts w:ascii="Times New Roman" w:eastAsia="Calibri"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4330</Words>
  <Characters>24682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Денежная система Японии</vt:lpstr>
    </vt:vector>
  </TitlesOfParts>
  <Company/>
  <LinksUpToDate>false</LinksUpToDate>
  <CharactersWithSpaces>28955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Денежная система Японии</dc:title>
  <dc:subject/>
  <dc:creator>Кристина</dc:creator>
  <cp:keywords/>
  <dc:description/>
  <cp:lastModifiedBy>admin</cp:lastModifiedBy>
  <cp:revision>2</cp:revision>
  <dcterms:created xsi:type="dcterms:W3CDTF">2014-04-02T18:15:00Z</dcterms:created>
  <dcterms:modified xsi:type="dcterms:W3CDTF">2014-04-02T18:15:00Z</dcterms:modified>
</cp:coreProperties>
</file>