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F14" w:rsidRPr="003260EF" w:rsidRDefault="009A3F14" w:rsidP="003260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65D8A" w:rsidRPr="003260EF" w:rsidRDefault="00065D8A" w:rsidP="003260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Длительность циклов определяется с помощью периодов оборота.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u w:val="single"/>
          <w:lang w:eastAsia="ru-RU"/>
        </w:rPr>
        <w:t>Производственный цикл</w:t>
      </w:r>
      <w:r w:rsidRPr="003260EF">
        <w:rPr>
          <w:rFonts w:ascii="Times New Roman" w:hAnsi="Times New Roman"/>
          <w:sz w:val="24"/>
          <w:szCs w:val="24"/>
          <w:lang w:eastAsia="ru-RU"/>
        </w:rPr>
        <w:t xml:space="preserve"> (ПЦ) - это период времени, в течение которого предприятие выполняет определенные работы в рамках одного кругооборота средств (от покупки сырья до продажи готовой продукции).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u w:val="single"/>
          <w:lang w:eastAsia="ru-RU"/>
        </w:rPr>
        <w:t>Финансовый (денежный) цикл</w:t>
      </w:r>
      <w:r w:rsidRPr="003260EF">
        <w:rPr>
          <w:rFonts w:ascii="Times New Roman" w:hAnsi="Times New Roman"/>
          <w:sz w:val="24"/>
          <w:szCs w:val="24"/>
          <w:lang w:eastAsia="ru-RU"/>
        </w:rPr>
        <w:t xml:space="preserve"> (ФЦ) - это период времени от вложения денежных средств в виде оплаты сырья до получения денежных средств в виде оплаты готовой продукции.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u w:val="single"/>
          <w:lang w:eastAsia="ru-RU"/>
        </w:rPr>
        <w:t>Операционный цикл</w:t>
      </w:r>
      <w:r w:rsidRPr="003260EF">
        <w:rPr>
          <w:rFonts w:ascii="Times New Roman" w:hAnsi="Times New Roman"/>
          <w:sz w:val="24"/>
          <w:szCs w:val="24"/>
          <w:lang w:eastAsia="ru-RU"/>
        </w:rPr>
        <w:t xml:space="preserve"> (ОЦ) - это период времени от первой до последней операции в течение одного кругооборота средств.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Производственный цикл начинается с момента поступления сырья и материалов на склад предприятия, заканчивается в момент отгрузки покупателю продукции, которая была изготовлена из данных материалов.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Финансовый цикл начинается с момента оплаты поставщикам материалов, заканчивается в момент получения денег от покупателя за отгруженную продукцию.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Финансирование издержек производится не только в начале производственного цикла, но и в процессе изготовления продукции. Поэтому длительность финансового цикла (период оборота текущих активов), как и периоды оборота отдельных видов оборотных средств, по своей природе являются усредненными параметрами.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Финансовый цикл, или цикл обращения денежной наличности, представляет собой время, в течение которого денежные средства отвлечены из оборота. Основные этапы обращения денежных средств в ходе производственной деятельности представлены на рис.</w:t>
      </w:r>
    </w:p>
    <w:p w:rsidR="00065D8A" w:rsidRPr="003260EF" w:rsidRDefault="00B56B5A" w:rsidP="003260EF">
      <w:pPr>
        <w:spacing w:before="100" w:beforeAutospacing="1" w:after="100" w:afterAutospacing="1" w:line="240" w:lineRule="auto"/>
        <w:ind w:left="72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Этапы обращения денежных средств" style="width:312.75pt;height:191.25pt;visibility:visible">
            <v:imagedata r:id="rId5" o:title=""/>
          </v:shape>
        </w:pic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i/>
          <w:iCs/>
          <w:sz w:val="24"/>
          <w:szCs w:val="24"/>
          <w:lang w:eastAsia="ru-RU"/>
        </w:rPr>
        <w:t>Этапы обращения денежных средств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Логика представленной схемы заключается в следующем. Операционный цикл характеризует общее время, в течение кото</w:t>
      </w:r>
      <w:r w:rsidRPr="003260EF">
        <w:rPr>
          <w:rFonts w:ascii="Times New Roman" w:hAnsi="Times New Roman"/>
          <w:sz w:val="24"/>
          <w:szCs w:val="24"/>
          <w:lang w:eastAsia="ru-RU"/>
        </w:rPr>
        <w:softHyphen/>
        <w:t>рого финансовые ресурсы омертвлены в запасах и дебиторской задолженности. Поскольку предприятие оплачивает счета постав</w:t>
      </w:r>
      <w:r w:rsidRPr="003260EF">
        <w:rPr>
          <w:rFonts w:ascii="Times New Roman" w:hAnsi="Times New Roman"/>
          <w:sz w:val="24"/>
          <w:szCs w:val="24"/>
          <w:lang w:eastAsia="ru-RU"/>
        </w:rPr>
        <w:softHyphen/>
        <w:t>щиков с временным лагом, время, в течение которого денежные средства отвлечены из оборота, т. е. финансовый цикл, меньше на среднее время обращения кредиторской задолженности. Сокра</w:t>
      </w:r>
      <w:r w:rsidRPr="003260EF">
        <w:rPr>
          <w:rFonts w:ascii="Times New Roman" w:hAnsi="Times New Roman"/>
          <w:sz w:val="24"/>
          <w:szCs w:val="24"/>
          <w:lang w:eastAsia="ru-RU"/>
        </w:rPr>
        <w:softHyphen/>
        <w:t>щение операционного и финансового циклов в динамике рассмат</w:t>
      </w:r>
      <w:r w:rsidRPr="003260EF">
        <w:rPr>
          <w:rFonts w:ascii="Times New Roman" w:hAnsi="Times New Roman"/>
          <w:sz w:val="24"/>
          <w:szCs w:val="24"/>
          <w:lang w:eastAsia="ru-RU"/>
        </w:rPr>
        <w:softHyphen/>
        <w:t>ривается как положительная тенденция. Если сокращение опера</w:t>
      </w:r>
      <w:r w:rsidRPr="003260EF">
        <w:rPr>
          <w:rFonts w:ascii="Times New Roman" w:hAnsi="Times New Roman"/>
          <w:sz w:val="24"/>
          <w:szCs w:val="24"/>
          <w:lang w:eastAsia="ru-RU"/>
        </w:rPr>
        <w:softHyphen/>
        <w:t>ционного цикла может быть сделано за счет ускорения производ</w:t>
      </w:r>
      <w:r w:rsidRPr="003260EF">
        <w:rPr>
          <w:rFonts w:ascii="Times New Roman" w:hAnsi="Times New Roman"/>
          <w:sz w:val="24"/>
          <w:szCs w:val="24"/>
          <w:lang w:eastAsia="ru-RU"/>
        </w:rPr>
        <w:softHyphen/>
        <w:t>ственного процесса и оборачиваемости дебиторской задолжен</w:t>
      </w:r>
      <w:r w:rsidRPr="003260EF">
        <w:rPr>
          <w:rFonts w:ascii="Times New Roman" w:hAnsi="Times New Roman"/>
          <w:sz w:val="24"/>
          <w:szCs w:val="24"/>
          <w:lang w:eastAsia="ru-RU"/>
        </w:rPr>
        <w:softHyphen/>
        <w:t>ности, то финансовый цикл может быть сокращен как за счет данных факторов, так и за счет некоторого некритического заме</w:t>
      </w:r>
      <w:r w:rsidRPr="003260EF">
        <w:rPr>
          <w:rFonts w:ascii="Times New Roman" w:hAnsi="Times New Roman"/>
          <w:sz w:val="24"/>
          <w:szCs w:val="24"/>
          <w:lang w:eastAsia="ru-RU"/>
        </w:rPr>
        <w:softHyphen/>
        <w:t>дления оборачиваемости кредиторской задолженности.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Таким образом, продолжительность финансового цикла (ПФЦ) в днях оборота рассчитывается по формуле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b/>
          <w:bCs/>
          <w:sz w:val="24"/>
          <w:szCs w:val="24"/>
          <w:lang w:eastAsia="ru-RU"/>
        </w:rPr>
        <w:t>ПФЦ = ПОЦВОК = ВОЗ + ВОДВОК</w:t>
      </w:r>
    </w:p>
    <w:p w:rsidR="00065D8A" w:rsidRPr="003260EF" w:rsidRDefault="00B56B5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2" o:spid="_x0000_i1026" type="#_x0000_t75" alt="Продолжительность финансового цикла" style="width:205.5pt;height:84pt;visibility:visible">
            <v:imagedata r:id="rId6" o:title=""/>
          </v:shape>
        </w:pict>
      </w:r>
      <w:r w:rsidR="00065D8A" w:rsidRPr="003260EF">
        <w:rPr>
          <w:rFonts w:ascii="Times New Roman" w:hAnsi="Times New Roman"/>
          <w:sz w:val="24"/>
          <w:szCs w:val="24"/>
          <w:lang w:eastAsia="ru-RU"/>
        </w:rPr>
        <w:t>где ПОЦ - продолжительность операционного цикла;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ВОК - время обращения кредиторской задолженности;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ВОЗ - время обращения производственных запасов;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ВОД - время обращения дебиторской задолженности;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т - длина периода, по которому рассчитываются средние показатели (как правило, год, т.е. т =365).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Информационное обеспечение расчета - бухгалтерская от</w:t>
      </w:r>
      <w:r w:rsidRPr="003260EF">
        <w:rPr>
          <w:rFonts w:ascii="Times New Roman" w:hAnsi="Times New Roman"/>
          <w:sz w:val="24"/>
          <w:szCs w:val="24"/>
          <w:lang w:eastAsia="ru-RU"/>
        </w:rPr>
        <w:softHyphen/>
        <w:t>четность. Расчет можно выполнять двумя способами: а) по всем данным о дебиторской и кредиторской задолженности; б) по данным о дебиторской и кредиторской задолженности, непосред</w:t>
      </w:r>
      <w:r w:rsidRPr="003260EF">
        <w:rPr>
          <w:rFonts w:ascii="Times New Roman" w:hAnsi="Times New Roman"/>
          <w:sz w:val="24"/>
          <w:szCs w:val="24"/>
          <w:lang w:eastAsia="ru-RU"/>
        </w:rPr>
        <w:softHyphen/>
        <w:t>ственно относящейся к производственному процессу.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Различают простой и сложный производственные циклы.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Простой производственный цикл - это цикл изготовления детали.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Сложный производственный цикл - цикл изготовления изделия.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Длительность производственного цикла в большой степени зависит от способа передачи детали (изделия) с операции на операцию. Существуют три вида движения детали (изделий) в процессе их изготовления:</w:t>
      </w:r>
    </w:p>
    <w:p w:rsidR="00065D8A" w:rsidRPr="003260EF" w:rsidRDefault="00065D8A" w:rsidP="003260E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последовательный;</w:t>
      </w:r>
    </w:p>
    <w:p w:rsidR="00065D8A" w:rsidRPr="003260EF" w:rsidRDefault="00065D8A" w:rsidP="003260E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параллельный;</w:t>
      </w:r>
    </w:p>
    <w:p w:rsidR="00065D8A" w:rsidRPr="003260EF" w:rsidRDefault="00065D8A" w:rsidP="003260E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параллельно-последовательный.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При последовательном виде движения каждая последующая операция начинается только после окончания обработки всей партии деталей на предыдущей операции.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Здесь рассчитывается операционный цикл партии, состоящей из трех деталей (n=3), обрабатываемых на четырех операциях: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Тпосл = 3(tшт1 + tшт2 + tшт3 + tшт4) = 3(2+1+4+1,5) = 25,5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или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где n - количество деталей в производственной партии (шт);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Чоп - число операций технологического процесса;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tштi - норма времени на выполнение i-й операции (мин.).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Если на всех или отдельных операциях имеются параллельные рабочие места, то операционный цикл определяется по формуле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где Cpмi - количество рабочих мест, занятых изготовлением партии деталей на каждой операции.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При последовательном виде движения деталей (изделия) отсутствуют перерывы в работе оборудования и рабочего на каждой операции, возможна высокая загрузка оборудования в течение смены, но производственный цикл имеет наибольшую величину, что уменьшает оборачиваемость оборотных средств.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Параллельный вид движения характеризуется передачей деталей (изделий) на последующую операцию немедленно после выполнения предыдущей операции независимо от готовности остальной партии. Детали передаются с операции на операцию поштучно или операционными партиями, на которые делится производственная партия. Процесс происходит непрерывно, если достигнуто полное равенство или кратность выполнения операций во времени, что характерно для поточных линий.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Параллельный вид движения детали (изделий) является наиболее эффективным, но возможности его применения ограничены, так как обязательным условием такого движения является равенство или кратность продолжительности выполнения операций, о чем было сказано выше. В противном случае неизбежны потери (перерывы) в работе оборудования и рабочего.</w:t>
      </w:r>
      <w:r w:rsidRPr="003260EF">
        <w:rPr>
          <w:rFonts w:ascii="Times New Roman" w:hAnsi="Times New Roman"/>
          <w:sz w:val="24"/>
          <w:szCs w:val="24"/>
          <w:lang w:eastAsia="ru-RU"/>
        </w:rPr>
        <w:br/>
        <w:t>По графику определяем операционный цикл при параллельном виде движения: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Тпар =(tшт1 + tшт2 + tшт3 + tшт4) + (3-1)tшт3 = 8,5 + (3-1)4 = 16,5 мин.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где tштmax - время выполнения операции, самой продолжительной в технологическом процессе (мин).</w:t>
      </w:r>
    </w:p>
    <w:p w:rsidR="00065D8A" w:rsidRPr="003260EF" w:rsidRDefault="00065D8A" w:rsidP="003260EF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3260EF">
        <w:rPr>
          <w:rFonts w:ascii="Times New Roman" w:hAnsi="Times New Roman"/>
          <w:sz w:val="24"/>
          <w:szCs w:val="24"/>
          <w:lang w:eastAsia="ru-RU"/>
        </w:rPr>
        <w:t>Параллельно-последовательный вид движения состоит в том, что изготовление изделий на последующей операции начинается до окончания изготовления всей партии на предыдущей операции с таким расчетом, чтобы работа на каждой операции по данной партии в целом шла без перерывов. В отличие от параллельного вида движения здесь происходит лишь частичное совмещение во времени выполнения смежных операций.</w:t>
      </w:r>
    </w:p>
    <w:tbl>
      <w:tblPr>
        <w:tblW w:w="5000" w:type="pct"/>
        <w:jc w:val="center"/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596"/>
        <w:gridCol w:w="6849"/>
      </w:tblGrid>
      <w:tr w:rsidR="00065D8A" w:rsidRPr="00593223">
        <w:trPr>
          <w:gridAfter w:val="1"/>
          <w:jc w:val="center"/>
        </w:trPr>
        <w:tc>
          <w:tcPr>
            <w:tcW w:w="0" w:type="auto"/>
            <w:tcBorders>
              <w:top w:val="single" w:sz="6" w:space="0" w:color="E7F7CE"/>
              <w:left w:val="single" w:sz="6" w:space="0" w:color="E7F7CE"/>
              <w:bottom w:val="single" w:sz="6" w:space="0" w:color="E7F7CE"/>
              <w:right w:val="single" w:sz="6" w:space="0" w:color="E7F7CE"/>
            </w:tcBorders>
            <w:vAlign w:val="center"/>
          </w:tcPr>
          <w:p w:rsidR="00065D8A" w:rsidRPr="008C3DE0" w:rsidRDefault="00065D8A" w:rsidP="008C3DE0">
            <w:pPr>
              <w:spacing w:after="0" w:line="240" w:lineRule="auto"/>
              <w:rPr>
                <w:rFonts w:ascii="Verdana" w:hAnsi="Verdana"/>
                <w:sz w:val="17"/>
                <w:szCs w:val="17"/>
                <w:lang w:eastAsia="ru-RU"/>
              </w:rPr>
            </w:pPr>
            <w:r w:rsidRPr="008C3DE0">
              <w:rPr>
                <w:rFonts w:ascii="Verdana" w:hAnsi="Verdana"/>
                <w:b/>
                <w:bCs/>
                <w:sz w:val="17"/>
                <w:lang w:eastAsia="ru-RU"/>
              </w:rPr>
              <w:t>Определение длительности производственного цикла</w:t>
            </w:r>
          </w:p>
        </w:tc>
      </w:tr>
      <w:tr w:rsidR="00065D8A" w:rsidRPr="00593223">
        <w:trPr>
          <w:jc w:val="center"/>
        </w:trPr>
        <w:tc>
          <w:tcPr>
            <w:tcW w:w="0" w:type="auto"/>
            <w:tcBorders>
              <w:top w:val="single" w:sz="6" w:space="0" w:color="E7F7CE"/>
              <w:left w:val="single" w:sz="6" w:space="0" w:color="E7F7CE"/>
              <w:bottom w:val="single" w:sz="6" w:space="0" w:color="E7F7CE"/>
              <w:right w:val="single" w:sz="6" w:space="0" w:color="E7F7CE"/>
            </w:tcBorders>
            <w:shd w:val="clear" w:color="auto" w:fill="E7F7CE"/>
          </w:tcPr>
          <w:p w:rsidR="00065D8A" w:rsidRPr="008C3DE0" w:rsidRDefault="00065D8A" w:rsidP="008C3DE0">
            <w:pPr>
              <w:spacing w:after="0" w:line="240" w:lineRule="auto"/>
              <w:rPr>
                <w:rFonts w:ascii="Verdana" w:hAnsi="Verdana"/>
                <w:sz w:val="17"/>
                <w:szCs w:val="17"/>
                <w:lang w:eastAsia="ru-RU"/>
              </w:rPr>
            </w:pPr>
            <w:r w:rsidRPr="008C3DE0">
              <w:rPr>
                <w:rFonts w:ascii="Verdana" w:hAnsi="Verdana"/>
                <w:b/>
                <w:bCs/>
                <w:sz w:val="17"/>
                <w:szCs w:val="17"/>
                <w:lang w:eastAsia="ru-RU"/>
              </w:rPr>
              <w:t>Содержание:</w:t>
            </w:r>
          </w:p>
        </w:tc>
        <w:tc>
          <w:tcPr>
            <w:tcW w:w="0" w:type="auto"/>
            <w:tcBorders>
              <w:top w:val="single" w:sz="6" w:space="0" w:color="E7F7CE"/>
              <w:left w:val="single" w:sz="6" w:space="0" w:color="E7F7CE"/>
              <w:bottom w:val="single" w:sz="6" w:space="0" w:color="E7F7CE"/>
              <w:right w:val="single" w:sz="6" w:space="0" w:color="E7F7CE"/>
            </w:tcBorders>
            <w:vAlign w:val="center"/>
          </w:tcPr>
          <w:p w:rsidR="00065D8A" w:rsidRPr="008C3DE0" w:rsidRDefault="00065D8A" w:rsidP="008C3DE0">
            <w:pPr>
              <w:spacing w:after="240" w:line="240" w:lineRule="auto"/>
              <w:rPr>
                <w:rFonts w:ascii="Verdana" w:hAnsi="Verdana"/>
                <w:sz w:val="17"/>
                <w:szCs w:val="17"/>
                <w:lang w:eastAsia="ru-RU"/>
              </w:rPr>
            </w:pP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t xml:space="preserve">Содержание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Содержание 2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1.Понятие производственного цикла 3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2.Методы анализа производственного цикла 5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3.Определение длительности производственного цикла 12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4. Пути сокращения длительности производственных циклов 21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Список литературы 22 </w:t>
            </w:r>
          </w:p>
        </w:tc>
      </w:tr>
      <w:tr w:rsidR="00065D8A" w:rsidRPr="00593223">
        <w:trPr>
          <w:jc w:val="center"/>
        </w:trPr>
        <w:tc>
          <w:tcPr>
            <w:tcW w:w="0" w:type="auto"/>
            <w:tcBorders>
              <w:top w:val="single" w:sz="6" w:space="0" w:color="E7F7CE"/>
              <w:left w:val="single" w:sz="6" w:space="0" w:color="E7F7CE"/>
              <w:bottom w:val="single" w:sz="6" w:space="0" w:color="E7F7CE"/>
              <w:right w:val="single" w:sz="6" w:space="0" w:color="E7F7CE"/>
            </w:tcBorders>
            <w:shd w:val="clear" w:color="auto" w:fill="E7F7CE"/>
          </w:tcPr>
          <w:p w:rsidR="00065D8A" w:rsidRPr="008C3DE0" w:rsidRDefault="00065D8A" w:rsidP="008C3DE0">
            <w:pPr>
              <w:spacing w:after="0" w:line="240" w:lineRule="auto"/>
              <w:rPr>
                <w:rFonts w:ascii="Verdana" w:hAnsi="Verdana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F7CE"/>
              <w:left w:val="single" w:sz="6" w:space="0" w:color="E7F7CE"/>
              <w:bottom w:val="single" w:sz="6" w:space="0" w:color="E7F7CE"/>
              <w:right w:val="single" w:sz="6" w:space="0" w:color="E7F7CE"/>
            </w:tcBorders>
            <w:vAlign w:val="center"/>
          </w:tcPr>
          <w:p w:rsidR="00065D8A" w:rsidRPr="008C3DE0" w:rsidRDefault="00065D8A" w:rsidP="008C3DE0">
            <w:pPr>
              <w:spacing w:after="0" w:line="240" w:lineRule="auto"/>
              <w:rPr>
                <w:rFonts w:ascii="Verdana" w:hAnsi="Verdana"/>
                <w:sz w:val="17"/>
                <w:szCs w:val="17"/>
                <w:lang w:eastAsia="ru-RU"/>
              </w:rPr>
            </w:pPr>
          </w:p>
        </w:tc>
      </w:tr>
      <w:tr w:rsidR="00065D8A" w:rsidRPr="00593223">
        <w:trPr>
          <w:jc w:val="center"/>
        </w:trPr>
        <w:tc>
          <w:tcPr>
            <w:tcW w:w="0" w:type="auto"/>
            <w:tcBorders>
              <w:top w:val="single" w:sz="6" w:space="0" w:color="E7F7CE"/>
              <w:left w:val="single" w:sz="6" w:space="0" w:color="E7F7CE"/>
              <w:bottom w:val="single" w:sz="6" w:space="0" w:color="E7F7CE"/>
              <w:right w:val="single" w:sz="6" w:space="0" w:color="E7F7CE"/>
            </w:tcBorders>
            <w:shd w:val="clear" w:color="auto" w:fill="E7F7CE"/>
          </w:tcPr>
          <w:p w:rsidR="00065D8A" w:rsidRPr="008C3DE0" w:rsidRDefault="00065D8A" w:rsidP="008C3DE0">
            <w:pPr>
              <w:spacing w:after="0" w:line="240" w:lineRule="auto"/>
              <w:rPr>
                <w:rFonts w:ascii="Verdana" w:hAnsi="Verdana"/>
                <w:sz w:val="17"/>
                <w:szCs w:val="17"/>
                <w:lang w:eastAsia="ru-RU"/>
              </w:rPr>
            </w:pPr>
            <w:r w:rsidRPr="008C3DE0">
              <w:rPr>
                <w:rFonts w:ascii="Verdana" w:hAnsi="Verdana"/>
                <w:b/>
                <w:bCs/>
                <w:sz w:val="17"/>
                <w:szCs w:val="17"/>
                <w:lang w:eastAsia="ru-RU"/>
              </w:rPr>
              <w:t>Введение</w:t>
            </w:r>
          </w:p>
        </w:tc>
        <w:tc>
          <w:tcPr>
            <w:tcW w:w="0" w:type="auto"/>
            <w:tcBorders>
              <w:top w:val="single" w:sz="6" w:space="0" w:color="E7F7CE"/>
              <w:left w:val="single" w:sz="6" w:space="0" w:color="E7F7CE"/>
              <w:bottom w:val="single" w:sz="6" w:space="0" w:color="E7F7CE"/>
              <w:right w:val="single" w:sz="6" w:space="0" w:color="E7F7CE"/>
            </w:tcBorders>
            <w:vAlign w:val="center"/>
          </w:tcPr>
          <w:p w:rsidR="00065D8A" w:rsidRPr="008C3DE0" w:rsidRDefault="00065D8A" w:rsidP="008C3DE0">
            <w:pPr>
              <w:spacing w:after="0" w:line="240" w:lineRule="auto"/>
              <w:rPr>
                <w:rFonts w:ascii="Verdana" w:hAnsi="Verdana"/>
                <w:sz w:val="17"/>
                <w:szCs w:val="17"/>
                <w:lang w:eastAsia="ru-RU"/>
              </w:rPr>
            </w:pP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t xml:space="preserve">1.Понятие производственного цикла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Производственный процесс представляет собой комплекс взаимосвязанных процессов труда, естественных процессов, направленных на изготовление продукции. Естественные процессы протекают без участия человека под воздействием внешних сил природы.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В каждом производственном процессе выделяют две стороны: технологическую и трудовую.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Технологическая сторона связана с превращением предметов труда в готовую продукцию или полуфабрикат с изменением физических свойств, геометрических форм и размеров, химического состава. Технологическая сторона находит выражение в заранее заданном технологическом процессе.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Трудовая сторона - это совокупность действий людей по осуществлению технологических процессов.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Организация производственного процесса предприятия предусматривает рациональное сочетание в пространстве и во времени основных, вспомогательных и обслуживающих процессов. Главная цель организации производственного процесса - экономия времени, обеспечение высокого качества и эффективности производства продукции.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Операция - часть технологического процесса, выполняемого на одном и том же рабочем месте, под одним и тем же предметом труда, одним и тем же инструментом и одним и тем же составом работающих. В производственном процессе выделяют основные и вспомогательные операции.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Основные операции направлены на изменение химического состава, свойств, геометрических размеров предмета труда (резание, термообработка, штамповка, механическая обработка, сборка и сварка).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Вспомогательные операции обеспечивают выполнение основных операций (транспортировка, установка, загрузка, контроль качества).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В сумме основные и вспомогательные операции образуют технологический процесс получения продукции.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Производственных цикл - отрезок времени между началом и окончанием производственного процесса, изготовление одного изделия или партии изделий. </w:t>
            </w:r>
          </w:p>
        </w:tc>
      </w:tr>
      <w:tr w:rsidR="00065D8A" w:rsidRPr="00593223">
        <w:trPr>
          <w:jc w:val="center"/>
        </w:trPr>
        <w:tc>
          <w:tcPr>
            <w:tcW w:w="0" w:type="auto"/>
            <w:tcBorders>
              <w:top w:val="single" w:sz="6" w:space="0" w:color="E7F7CE"/>
              <w:left w:val="single" w:sz="6" w:space="0" w:color="E7F7CE"/>
              <w:bottom w:val="single" w:sz="6" w:space="0" w:color="E7F7CE"/>
              <w:right w:val="single" w:sz="6" w:space="0" w:color="E7F7CE"/>
            </w:tcBorders>
            <w:shd w:val="clear" w:color="auto" w:fill="E7F7CE"/>
          </w:tcPr>
          <w:p w:rsidR="00065D8A" w:rsidRPr="008C3DE0" w:rsidRDefault="00065D8A" w:rsidP="008C3DE0">
            <w:pPr>
              <w:spacing w:after="0" w:line="240" w:lineRule="auto"/>
              <w:rPr>
                <w:rFonts w:ascii="Verdana" w:hAnsi="Verdana"/>
                <w:sz w:val="17"/>
                <w:szCs w:val="17"/>
                <w:lang w:eastAsia="ru-RU"/>
              </w:rPr>
            </w:pPr>
            <w:r w:rsidRPr="008C3DE0">
              <w:rPr>
                <w:rFonts w:ascii="Verdana" w:hAnsi="Verdana"/>
                <w:b/>
                <w:bCs/>
                <w:sz w:val="17"/>
                <w:szCs w:val="17"/>
                <w:lang w:eastAsia="ru-RU"/>
              </w:rPr>
              <w:t>Литература</w:t>
            </w:r>
          </w:p>
        </w:tc>
        <w:tc>
          <w:tcPr>
            <w:tcW w:w="0" w:type="auto"/>
            <w:tcBorders>
              <w:top w:val="single" w:sz="6" w:space="0" w:color="E7F7CE"/>
              <w:left w:val="single" w:sz="6" w:space="0" w:color="E7F7CE"/>
              <w:bottom w:val="single" w:sz="6" w:space="0" w:color="E7F7CE"/>
              <w:right w:val="single" w:sz="6" w:space="0" w:color="E7F7CE"/>
            </w:tcBorders>
            <w:vAlign w:val="center"/>
          </w:tcPr>
          <w:p w:rsidR="00065D8A" w:rsidRPr="008C3DE0" w:rsidRDefault="00065D8A" w:rsidP="008C3DE0">
            <w:pPr>
              <w:spacing w:after="0" w:line="240" w:lineRule="auto"/>
              <w:rPr>
                <w:rFonts w:ascii="Verdana" w:hAnsi="Verdana"/>
                <w:sz w:val="17"/>
                <w:szCs w:val="17"/>
                <w:lang w:eastAsia="ru-RU"/>
              </w:rPr>
            </w:pP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t xml:space="preserve">Список литературы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1. Балабанов И.Т. Финансовый менеджмент: Учебник - М.: Финансы и статистика, 2004. - 224с.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2. Бланк И.А. Основы финансового менеджмента: Учебник - М.: "Ника-Центр", 1999. - Т2 542 с.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3. Ворст Й., Ревентлоу П. Экономика фирмы. Пер. с датского. М.: Высшая школа, 2004. 272с.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4. Маркарьян Э.А., Герасименко Г.П., Маркарьян С.Э.Финансовый анализ: Учебное пособие. - 3-е изд. - М.: ИД ФБК-ПРЕСС, 2002. - 224 с.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5. Павлова Л.Н. Финансы предприятий: Учебник для вузов. - М.: Финансы, ЮНИТИ, 1998. - 639с.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6. Стоянова Е. С. и др. Управление оборотным капиталом. М.: Изд-во "Перспектива",2005. 128с.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7. Уткин Э.А. Финансовый менеджмент: Учебник для вузов - М.: Издательство "Зерцало", 1998. - 272с.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8. Холт Р.Н. Основы финансового менеджмента: Пер. с англ. - М.: Дело Лтд., 2005. - 128с.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9. Финансовый менеджмент: Учебник для вузов / Под ред. Г.Б. Поляка - М.: Финансы, ЮНИТИ, 2005. - 518с. </w:t>
            </w:r>
            <w:r w:rsidRPr="008C3DE0">
              <w:rPr>
                <w:rFonts w:ascii="Verdana" w:hAnsi="Verdana"/>
                <w:sz w:val="17"/>
                <w:szCs w:val="17"/>
                <w:lang w:eastAsia="ru-RU"/>
              </w:rPr>
              <w:br/>
              <w:t xml:space="preserve">10. Шопенко Д.В., Кныш М.И., Гончарук О.В., Управление финансами предприятия. Учебное пособие. - СПб.: Дмитрий Буланин, 2002. 264 с. </w:t>
            </w:r>
          </w:p>
        </w:tc>
      </w:tr>
    </w:tbl>
    <w:p w:rsidR="00065D8A" w:rsidRPr="00105568" w:rsidRDefault="00065D8A">
      <w:r>
        <w:rPr>
          <w:rFonts w:ascii="Arial" w:hAnsi="Arial" w:cs="Arial"/>
          <w:color w:val="3F3F3F"/>
          <w:sz w:val="18"/>
          <w:szCs w:val="18"/>
        </w:rPr>
        <w:t>Содержание:</w:t>
      </w:r>
      <w:r>
        <w:rPr>
          <w:rFonts w:ascii="Arial" w:hAnsi="Arial" w:cs="Arial"/>
          <w:color w:val="3F3F3F"/>
          <w:sz w:val="18"/>
          <w:szCs w:val="18"/>
        </w:rPr>
        <w:br/>
      </w:r>
      <w:r>
        <w:rPr>
          <w:rFonts w:ascii="Arial" w:hAnsi="Arial" w:cs="Arial"/>
          <w:color w:val="3F3F3F"/>
          <w:sz w:val="18"/>
          <w:szCs w:val="18"/>
        </w:rPr>
        <w:br/>
        <w:t>Введение 3</w:t>
      </w:r>
      <w:r>
        <w:rPr>
          <w:rFonts w:ascii="Arial" w:hAnsi="Arial" w:cs="Arial"/>
          <w:color w:val="3F3F3F"/>
          <w:sz w:val="18"/>
          <w:szCs w:val="18"/>
        </w:rPr>
        <w:br/>
        <w:t>1. Производственный цикл предприятия</w:t>
      </w:r>
      <w:r>
        <w:rPr>
          <w:rFonts w:ascii="Arial" w:hAnsi="Arial" w:cs="Arial"/>
          <w:color w:val="3F3F3F"/>
          <w:sz w:val="18"/>
          <w:szCs w:val="18"/>
        </w:rPr>
        <w:br/>
        <w:t>1.1. Понятие, сущность производственного цикла 5</w:t>
      </w:r>
      <w:r>
        <w:rPr>
          <w:rFonts w:ascii="Arial" w:hAnsi="Arial" w:cs="Arial"/>
          <w:color w:val="3F3F3F"/>
          <w:sz w:val="18"/>
          <w:szCs w:val="18"/>
        </w:rPr>
        <w:br/>
        <w:t>1.2. Нормирование оборотных активов 7</w:t>
      </w:r>
      <w:r>
        <w:rPr>
          <w:rFonts w:ascii="Arial" w:hAnsi="Arial" w:cs="Arial"/>
          <w:color w:val="3F3F3F"/>
          <w:sz w:val="18"/>
          <w:szCs w:val="18"/>
        </w:rPr>
        <w:br/>
        <w:t>1.3. Показатели эффективности использования оборотных средств 10</w:t>
      </w:r>
      <w:r>
        <w:rPr>
          <w:rFonts w:ascii="Arial" w:hAnsi="Arial" w:cs="Arial"/>
          <w:color w:val="3F3F3F"/>
          <w:sz w:val="18"/>
          <w:szCs w:val="18"/>
        </w:rPr>
        <w:br/>
        <w:t xml:space="preserve">1.4. Управление товарными запасами, как элемент производственного </w:t>
      </w:r>
      <w:r>
        <w:rPr>
          <w:rFonts w:ascii="Arial" w:hAnsi="Arial" w:cs="Arial"/>
          <w:color w:val="3F3F3F"/>
          <w:sz w:val="18"/>
          <w:szCs w:val="18"/>
        </w:rPr>
        <w:br/>
        <w:t>цикла 11</w:t>
      </w:r>
      <w:r>
        <w:rPr>
          <w:rFonts w:ascii="Arial" w:hAnsi="Arial" w:cs="Arial"/>
          <w:color w:val="3F3F3F"/>
          <w:sz w:val="18"/>
          <w:szCs w:val="18"/>
        </w:rPr>
        <w:br/>
        <w:t>1.5. Рабочий период производственного цикла 17</w:t>
      </w:r>
      <w:r>
        <w:rPr>
          <w:rFonts w:ascii="Arial" w:hAnsi="Arial" w:cs="Arial"/>
          <w:color w:val="3F3F3F"/>
          <w:sz w:val="18"/>
          <w:szCs w:val="18"/>
        </w:rPr>
        <w:br/>
        <w:t>2. Финансовый цикл деятельности предприятия</w:t>
      </w:r>
      <w:r>
        <w:rPr>
          <w:rFonts w:ascii="Arial" w:hAnsi="Arial" w:cs="Arial"/>
          <w:color w:val="3F3F3F"/>
          <w:sz w:val="18"/>
          <w:szCs w:val="18"/>
        </w:rPr>
        <w:br/>
        <w:t>2.1. Экономическая сущность капитала предприятия 20</w:t>
      </w:r>
      <w:r>
        <w:rPr>
          <w:rFonts w:ascii="Arial" w:hAnsi="Arial" w:cs="Arial"/>
          <w:color w:val="3F3F3F"/>
          <w:sz w:val="18"/>
          <w:szCs w:val="18"/>
        </w:rPr>
        <w:br/>
        <w:t>2.2. Управление финансовым циклом 25</w:t>
      </w:r>
      <w:r>
        <w:rPr>
          <w:rFonts w:ascii="Arial" w:hAnsi="Arial" w:cs="Arial"/>
          <w:color w:val="3F3F3F"/>
          <w:sz w:val="18"/>
          <w:szCs w:val="18"/>
        </w:rPr>
        <w:br/>
        <w:t>Заключение 29</w:t>
      </w:r>
      <w:r>
        <w:rPr>
          <w:rFonts w:ascii="Arial" w:hAnsi="Arial" w:cs="Arial"/>
          <w:color w:val="3F3F3F"/>
          <w:sz w:val="18"/>
          <w:szCs w:val="18"/>
        </w:rPr>
        <w:br/>
        <w:t>Список литературы 31</w:t>
      </w:r>
      <w:bookmarkStart w:id="0" w:name="_GoBack"/>
      <w:bookmarkEnd w:id="0"/>
    </w:p>
    <w:sectPr w:rsidR="00065D8A" w:rsidRPr="00105568" w:rsidSect="00604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AD7C55"/>
    <w:multiLevelType w:val="multilevel"/>
    <w:tmpl w:val="CE96E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60EF"/>
    <w:rsid w:val="000367C5"/>
    <w:rsid w:val="00065D8A"/>
    <w:rsid w:val="00105568"/>
    <w:rsid w:val="0025701B"/>
    <w:rsid w:val="003260EF"/>
    <w:rsid w:val="00495308"/>
    <w:rsid w:val="00593223"/>
    <w:rsid w:val="00604F9A"/>
    <w:rsid w:val="008C3DE0"/>
    <w:rsid w:val="00985230"/>
    <w:rsid w:val="009A3F14"/>
    <w:rsid w:val="00B56B5A"/>
    <w:rsid w:val="00BB71FC"/>
    <w:rsid w:val="00C21C11"/>
    <w:rsid w:val="00CF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B903CE24-2F74-486A-A985-857A201E7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F9A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3260EF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styleId="a4">
    <w:name w:val="Emphasis"/>
    <w:basedOn w:val="a0"/>
    <w:qFormat/>
    <w:rsid w:val="003260EF"/>
    <w:rPr>
      <w:rFonts w:cs="Times New Roman"/>
      <w:i/>
      <w:iCs/>
    </w:rPr>
  </w:style>
  <w:style w:type="character" w:styleId="a5">
    <w:name w:val="Strong"/>
    <w:basedOn w:val="a0"/>
    <w:qFormat/>
    <w:rsid w:val="003260EF"/>
    <w:rPr>
      <w:rFonts w:cs="Times New Roman"/>
      <w:b/>
      <w:bCs/>
    </w:rPr>
  </w:style>
  <w:style w:type="paragraph" w:styleId="a6">
    <w:name w:val="Balloon Text"/>
    <w:basedOn w:val="a"/>
    <w:link w:val="a7"/>
    <w:semiHidden/>
    <w:rsid w:val="00326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locked/>
    <w:rsid w:val="003260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1432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•</vt:lpstr>
    </vt:vector>
  </TitlesOfParts>
  <Company>Microsoft</Company>
  <LinksUpToDate>false</LinksUpToDate>
  <CharactersWithSpaces>9577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</dc:title>
  <dc:subject/>
  <dc:creator>Admin</dc:creator>
  <cp:keywords/>
  <dc:description/>
  <cp:lastModifiedBy>admin</cp:lastModifiedBy>
  <cp:revision>2</cp:revision>
  <dcterms:created xsi:type="dcterms:W3CDTF">2014-04-02T11:48:00Z</dcterms:created>
  <dcterms:modified xsi:type="dcterms:W3CDTF">2014-04-02T11:48:00Z</dcterms:modified>
</cp:coreProperties>
</file>