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48F" w:rsidRDefault="002A448F" w:rsidP="00C7465B">
      <w:pPr>
        <w:jc w:val="both"/>
        <w:rPr>
          <w:lang w:val="en-US"/>
        </w:rPr>
      </w:pPr>
    </w:p>
    <w:p w:rsidR="00C7465B" w:rsidRDefault="00C7465B" w:rsidP="00C7465B">
      <w:pPr>
        <w:jc w:val="both"/>
        <w:rPr>
          <w:lang w:val="en-US"/>
        </w:rPr>
      </w:pPr>
    </w:p>
    <w:p w:rsidR="00C7465B" w:rsidRPr="00053C34" w:rsidRDefault="00C7465B" w:rsidP="00053C34">
      <w:pPr>
        <w:jc w:val="center"/>
        <w:rPr>
          <w:b/>
          <w:sz w:val="32"/>
          <w:szCs w:val="32"/>
        </w:rPr>
      </w:pPr>
      <w:r w:rsidRPr="00053C34">
        <w:rPr>
          <w:b/>
          <w:sz w:val="32"/>
          <w:szCs w:val="32"/>
        </w:rPr>
        <w:t>Налог на недвижимость в Украине</w:t>
      </w:r>
    </w:p>
    <w:p w:rsidR="00C7465B" w:rsidRPr="00C7465B" w:rsidRDefault="00C7465B" w:rsidP="00C7465B">
      <w:pPr>
        <w:jc w:val="both"/>
      </w:pPr>
    </w:p>
    <w:p w:rsidR="00C7465B" w:rsidRPr="00C7465B" w:rsidRDefault="00C7465B" w:rsidP="00053C34">
      <w:pPr>
        <w:ind w:firstLine="540"/>
        <w:jc w:val="both"/>
      </w:pPr>
      <w:r w:rsidRPr="00C7465B">
        <w:t xml:space="preserve">С 1 января 2011 года в Украине, Налоговым Кодексом, вводится налог на недвижимость. </w:t>
      </w:r>
    </w:p>
    <w:p w:rsidR="00C7465B" w:rsidRPr="00C7465B" w:rsidRDefault="00C7465B" w:rsidP="00053C34">
      <w:pPr>
        <w:ind w:firstLine="540"/>
        <w:jc w:val="both"/>
      </w:pPr>
      <w:r w:rsidRPr="00C7465B">
        <w:t>Плательщиками налога на недвижимость являются собственники жилой недвижимости, нежилая недвижимость не является объектом налогообложения.</w:t>
      </w:r>
    </w:p>
    <w:p w:rsidR="00C7465B" w:rsidRPr="00C7465B" w:rsidRDefault="00C7465B" w:rsidP="00053C34">
      <w:pPr>
        <w:ind w:firstLine="540"/>
        <w:jc w:val="both"/>
      </w:pPr>
      <w:r w:rsidRPr="00C7465B">
        <w:t>В соответствии с Налоговым Кодексом Украины, к жилой недвижимости отнесены:</w:t>
      </w:r>
    </w:p>
    <w:p w:rsidR="00C7465B" w:rsidRPr="00C7465B" w:rsidRDefault="00C7465B" w:rsidP="00053C34">
      <w:pPr>
        <w:numPr>
          <w:ilvl w:val="0"/>
          <w:numId w:val="12"/>
        </w:numPr>
        <w:tabs>
          <w:tab w:val="clear" w:pos="1260"/>
          <w:tab w:val="num" w:pos="180"/>
        </w:tabs>
        <w:ind w:left="180" w:hanging="180"/>
        <w:jc w:val="both"/>
      </w:pPr>
      <w:r w:rsidRPr="00C7465B">
        <w:t>жилые дома, предназначенные для постоянного проживания и жилые дома садового типа</w:t>
      </w:r>
    </w:p>
    <w:p w:rsidR="00C7465B" w:rsidRPr="00C7465B" w:rsidRDefault="00C7465B" w:rsidP="00053C34">
      <w:pPr>
        <w:numPr>
          <w:ilvl w:val="0"/>
          <w:numId w:val="12"/>
        </w:numPr>
        <w:tabs>
          <w:tab w:val="clear" w:pos="1260"/>
          <w:tab w:val="num" w:pos="180"/>
        </w:tabs>
        <w:ind w:left="180" w:hanging="180"/>
        <w:jc w:val="both"/>
      </w:pPr>
      <w:r w:rsidRPr="00C7465B">
        <w:t>пристройки к жилым домам</w:t>
      </w:r>
    </w:p>
    <w:p w:rsidR="00C7465B" w:rsidRPr="00C7465B" w:rsidRDefault="00C7465B" w:rsidP="00053C34">
      <w:pPr>
        <w:numPr>
          <w:ilvl w:val="0"/>
          <w:numId w:val="12"/>
        </w:numPr>
        <w:tabs>
          <w:tab w:val="clear" w:pos="1260"/>
          <w:tab w:val="num" w:pos="180"/>
        </w:tabs>
        <w:ind w:left="180" w:hanging="180"/>
        <w:jc w:val="both"/>
      </w:pPr>
      <w:r w:rsidRPr="00C7465B">
        <w:t>квартиры</w:t>
      </w:r>
    </w:p>
    <w:p w:rsidR="00C7465B" w:rsidRPr="00C7465B" w:rsidRDefault="00C7465B" w:rsidP="00053C34">
      <w:pPr>
        <w:numPr>
          <w:ilvl w:val="0"/>
          <w:numId w:val="12"/>
        </w:numPr>
        <w:tabs>
          <w:tab w:val="clear" w:pos="1260"/>
          <w:tab w:val="num" w:pos="180"/>
        </w:tabs>
        <w:ind w:left="180" w:hanging="180"/>
        <w:jc w:val="both"/>
      </w:pPr>
      <w:r w:rsidRPr="00C7465B">
        <w:t>коттеджи</w:t>
      </w:r>
    </w:p>
    <w:p w:rsidR="00C7465B" w:rsidRPr="00C7465B" w:rsidRDefault="00C7465B" w:rsidP="00053C34">
      <w:pPr>
        <w:numPr>
          <w:ilvl w:val="0"/>
          <w:numId w:val="12"/>
        </w:numPr>
        <w:tabs>
          <w:tab w:val="clear" w:pos="1260"/>
          <w:tab w:val="num" w:pos="180"/>
        </w:tabs>
        <w:ind w:left="180" w:hanging="180"/>
        <w:jc w:val="both"/>
      </w:pPr>
      <w:r w:rsidRPr="00C7465B">
        <w:t>комнаты в многосемейных (коммунальных) квартирах</w:t>
      </w:r>
    </w:p>
    <w:p w:rsidR="00C7465B" w:rsidRPr="00C7465B" w:rsidRDefault="00C7465B" w:rsidP="00053C34">
      <w:pPr>
        <w:numPr>
          <w:ilvl w:val="0"/>
          <w:numId w:val="12"/>
        </w:numPr>
        <w:tabs>
          <w:tab w:val="clear" w:pos="1260"/>
          <w:tab w:val="num" w:pos="180"/>
        </w:tabs>
        <w:ind w:left="180" w:hanging="180"/>
        <w:jc w:val="both"/>
      </w:pPr>
      <w:r w:rsidRPr="00C7465B">
        <w:t>садовые дома</w:t>
      </w:r>
    </w:p>
    <w:p w:rsidR="00C7465B" w:rsidRPr="00C7465B" w:rsidRDefault="00C7465B" w:rsidP="00053C34">
      <w:pPr>
        <w:numPr>
          <w:ilvl w:val="0"/>
          <w:numId w:val="12"/>
        </w:numPr>
        <w:tabs>
          <w:tab w:val="clear" w:pos="1260"/>
          <w:tab w:val="num" w:pos="180"/>
        </w:tabs>
        <w:ind w:left="180" w:hanging="180"/>
        <w:jc w:val="both"/>
      </w:pPr>
      <w:r w:rsidRPr="00C7465B">
        <w:t>дачные дома</w:t>
      </w:r>
    </w:p>
    <w:p w:rsidR="00C7465B" w:rsidRPr="00C7465B" w:rsidRDefault="00C7465B" w:rsidP="00053C34">
      <w:pPr>
        <w:ind w:firstLine="540"/>
        <w:jc w:val="both"/>
      </w:pPr>
      <w:r w:rsidRPr="00C7465B">
        <w:t>Жилые дома садового типа – это жилые дома, размещенные на отдельном земельном участке. Такой дом состоит из жилых и вспомогательных (нежилых) помещений. Садовый дом – это некапитальное строение для летнего (сезонного) использования. К дачным домам отнесены капитальные жилые дома, используемые в течении года для «отдыха за пределами города». К коттеджам отнесли одно или полутораэтажные дома с небольшой жилой площадью для постоянного или временного проживания с приусадебным участком.</w:t>
      </w:r>
    </w:p>
    <w:p w:rsidR="00C7465B" w:rsidRPr="00C7465B" w:rsidRDefault="00C7465B" w:rsidP="00053C34">
      <w:pPr>
        <w:ind w:firstLine="540"/>
        <w:jc w:val="both"/>
      </w:pPr>
      <w:r w:rsidRPr="00C7465B">
        <w:t>Не являются объектами налогообложения:</w:t>
      </w:r>
    </w:p>
    <w:p w:rsidR="00C7465B" w:rsidRPr="00C7465B" w:rsidRDefault="00C7465B" w:rsidP="00053C34">
      <w:pPr>
        <w:numPr>
          <w:ilvl w:val="0"/>
          <w:numId w:val="13"/>
        </w:numPr>
        <w:tabs>
          <w:tab w:val="clear" w:pos="1260"/>
          <w:tab w:val="num" w:pos="180"/>
        </w:tabs>
        <w:ind w:left="180" w:hanging="180"/>
        <w:jc w:val="both"/>
      </w:pPr>
      <w:r w:rsidRPr="00C7465B">
        <w:t>жилая недвижимость, находящаяся в государственной собственности или в собственности территориальных общин</w:t>
      </w:r>
    </w:p>
    <w:p w:rsidR="00C7465B" w:rsidRPr="00C7465B" w:rsidRDefault="00C7465B" w:rsidP="00053C34">
      <w:pPr>
        <w:numPr>
          <w:ilvl w:val="0"/>
          <w:numId w:val="13"/>
        </w:numPr>
        <w:tabs>
          <w:tab w:val="clear" w:pos="1260"/>
          <w:tab w:val="num" w:pos="180"/>
        </w:tabs>
        <w:ind w:left="180" w:hanging="180"/>
        <w:jc w:val="both"/>
      </w:pPr>
      <w:r w:rsidRPr="00C7465B">
        <w:t>жилая недвижимость, находящаяся в зонах отчуждения и безусловного (обязательного) отселения (в Чернобыльской зоне)</w:t>
      </w:r>
    </w:p>
    <w:p w:rsidR="00C7465B" w:rsidRPr="00C7465B" w:rsidRDefault="00C7465B" w:rsidP="00053C34">
      <w:pPr>
        <w:numPr>
          <w:ilvl w:val="0"/>
          <w:numId w:val="13"/>
        </w:numPr>
        <w:tabs>
          <w:tab w:val="clear" w:pos="1260"/>
          <w:tab w:val="num" w:pos="180"/>
        </w:tabs>
        <w:ind w:left="180" w:hanging="180"/>
        <w:jc w:val="both"/>
      </w:pPr>
      <w:r w:rsidRPr="00C7465B">
        <w:t>недвижимость детских домов семейного типа</w:t>
      </w:r>
    </w:p>
    <w:p w:rsidR="00C7465B" w:rsidRPr="00C7465B" w:rsidRDefault="00C7465B" w:rsidP="00053C34">
      <w:pPr>
        <w:numPr>
          <w:ilvl w:val="0"/>
          <w:numId w:val="13"/>
        </w:numPr>
        <w:tabs>
          <w:tab w:val="clear" w:pos="1260"/>
          <w:tab w:val="num" w:pos="180"/>
        </w:tabs>
        <w:ind w:left="180" w:hanging="180"/>
        <w:jc w:val="both"/>
      </w:pPr>
      <w:r w:rsidRPr="00C7465B">
        <w:t>садовые или дачные дома (но не более одного такого дома для одного плательщика налога на недвижимость)</w:t>
      </w:r>
    </w:p>
    <w:p w:rsidR="00C7465B" w:rsidRPr="00C7465B" w:rsidRDefault="00C7465B" w:rsidP="00053C34">
      <w:pPr>
        <w:numPr>
          <w:ilvl w:val="0"/>
          <w:numId w:val="13"/>
        </w:numPr>
        <w:tabs>
          <w:tab w:val="clear" w:pos="1260"/>
          <w:tab w:val="num" w:pos="180"/>
        </w:tabs>
        <w:ind w:left="180" w:hanging="180"/>
        <w:jc w:val="both"/>
      </w:pPr>
      <w:r w:rsidRPr="00C7465B">
        <w:t>жилая недвижимость, принадлежащая многодетным семьям, воспитывающим трех и более детей (включая усыновленных), но не более одного объекта на такую семью</w:t>
      </w:r>
    </w:p>
    <w:p w:rsidR="00C7465B" w:rsidRPr="00C7465B" w:rsidRDefault="00C7465B" w:rsidP="00F91114">
      <w:pPr>
        <w:numPr>
          <w:ilvl w:val="0"/>
          <w:numId w:val="13"/>
        </w:numPr>
        <w:tabs>
          <w:tab w:val="clear" w:pos="1260"/>
          <w:tab w:val="num" w:pos="180"/>
        </w:tabs>
        <w:ind w:left="180" w:hanging="180"/>
        <w:jc w:val="both"/>
      </w:pPr>
      <w:r w:rsidRPr="00C7465B">
        <w:t>общежития.</w:t>
      </w:r>
    </w:p>
    <w:p w:rsidR="00C7465B" w:rsidRPr="00C7465B" w:rsidRDefault="00C7465B" w:rsidP="00053C34">
      <w:pPr>
        <w:ind w:firstLine="540"/>
        <w:jc w:val="both"/>
      </w:pPr>
      <w:r w:rsidRPr="00C7465B">
        <w:t>Базой налогообложения является жилая площадь объекта жилой недвижимости.</w:t>
      </w:r>
    </w:p>
    <w:p w:rsidR="00C7465B" w:rsidRPr="00C7465B" w:rsidRDefault="00C7465B" w:rsidP="00053C34">
      <w:pPr>
        <w:ind w:firstLine="540"/>
        <w:jc w:val="both"/>
      </w:pPr>
      <w:r w:rsidRPr="00C7465B">
        <w:t xml:space="preserve">При расчете налога, база налогообложения уменьшается:на </w:t>
      </w:r>
      <w:smartTag w:uri="urn:schemas-microsoft-com:office:smarttags" w:element="metricconverter">
        <w:smartTagPr>
          <w:attr w:name="ProductID" w:val="120 кв. метров"/>
        </w:smartTagPr>
        <w:r w:rsidRPr="00C7465B">
          <w:t>120 кв. метров</w:t>
        </w:r>
      </w:smartTag>
      <w:r w:rsidRPr="00C7465B">
        <w:t xml:space="preserve"> - для квартиры;на </w:t>
      </w:r>
      <w:smartTag w:uri="urn:schemas-microsoft-com:office:smarttags" w:element="metricconverter">
        <w:smartTagPr>
          <w:attr w:name="ProductID" w:val="250 кв. метров"/>
        </w:smartTagPr>
        <w:r w:rsidRPr="00C7465B">
          <w:t>250 кв. метров</w:t>
        </w:r>
      </w:smartTag>
      <w:r w:rsidRPr="00C7465B">
        <w:t xml:space="preserve"> - для жилого дома.</w:t>
      </w:r>
    </w:p>
    <w:p w:rsidR="00053C34" w:rsidRPr="00F91114" w:rsidRDefault="00C7465B" w:rsidP="00F91114">
      <w:pPr>
        <w:ind w:firstLine="540"/>
        <w:jc w:val="both"/>
      </w:pPr>
      <w:r w:rsidRPr="00C7465B">
        <w:t>Такое уменьшение базы налогообложения предоставляется один раз в год и применяется или к объекту жилой недвижимости, по адресу которой плательщик налога зарегистрирован в соответствии с действующим законодательством Украины или, по выбору налогоплательщика к иному, принадлежащему налогоплательщику, объекту жилой недвижимости.</w:t>
      </w:r>
    </w:p>
    <w:p w:rsidR="00C7465B" w:rsidRPr="00053C34" w:rsidRDefault="00C7465B" w:rsidP="00053C34">
      <w:pPr>
        <w:ind w:firstLine="540"/>
        <w:jc w:val="both"/>
        <w:rPr>
          <w:b/>
        </w:rPr>
      </w:pPr>
      <w:r w:rsidRPr="00053C34">
        <w:rPr>
          <w:b/>
        </w:rPr>
        <w:t>Ставка налога на недвижимость</w:t>
      </w:r>
    </w:p>
    <w:p w:rsidR="00C7465B" w:rsidRPr="00C7465B" w:rsidRDefault="00C7465B" w:rsidP="00053C34">
      <w:pPr>
        <w:ind w:firstLine="540"/>
        <w:jc w:val="both"/>
      </w:pPr>
      <w:r w:rsidRPr="00C7465B">
        <w:t xml:space="preserve">Ставка налога на недвижимость исчисляется за </w:t>
      </w:r>
      <w:smartTag w:uri="urn:schemas-microsoft-com:office:smarttags" w:element="metricconverter">
        <w:smartTagPr>
          <w:attr w:name="ProductID" w:val="1 кв. м"/>
        </w:smartTagPr>
        <w:r w:rsidRPr="00C7465B">
          <w:t>1 кв. м</w:t>
        </w:r>
      </w:smartTag>
      <w:r w:rsidRPr="00C7465B">
        <w:t>. в процентах от размера минимальной заработной платы, установленной на 1 января года уплаты налога:</w:t>
      </w:r>
    </w:p>
    <w:p w:rsidR="00C7465B" w:rsidRPr="00C7465B" w:rsidRDefault="00C7465B" w:rsidP="00053C34">
      <w:pPr>
        <w:ind w:firstLine="540"/>
        <w:jc w:val="both"/>
      </w:pPr>
      <w:r w:rsidRPr="00C7465B">
        <w:t xml:space="preserve">для квартир, жилая площадь которых не превышает </w:t>
      </w:r>
      <w:smartTag w:uri="urn:schemas-microsoft-com:office:smarttags" w:element="metricconverter">
        <w:smartTagPr>
          <w:attr w:name="ProductID" w:val="240 кв. метров"/>
        </w:smartTagPr>
        <w:r w:rsidRPr="00C7465B">
          <w:t>240 кв. метров</w:t>
        </w:r>
      </w:smartTag>
      <w:r w:rsidRPr="00C7465B">
        <w:t xml:space="preserve">, и для жилых домов, жилой площадью до </w:t>
      </w:r>
      <w:smartTag w:uri="urn:schemas-microsoft-com:office:smarttags" w:element="metricconverter">
        <w:smartTagPr>
          <w:attr w:name="ProductID" w:val="500 кв. метров"/>
        </w:smartTagPr>
        <w:r w:rsidRPr="00C7465B">
          <w:t>500 кв. метров</w:t>
        </w:r>
      </w:smartTag>
      <w:r w:rsidRPr="00C7465B">
        <w:t xml:space="preserve"> - 1 %</w:t>
      </w:r>
    </w:p>
    <w:p w:rsidR="00C7465B" w:rsidRPr="00C7465B" w:rsidRDefault="00C7465B" w:rsidP="00053C34">
      <w:pPr>
        <w:ind w:firstLine="540"/>
        <w:jc w:val="both"/>
      </w:pPr>
      <w:r w:rsidRPr="00C7465B">
        <w:t xml:space="preserve">для квартир, жилой площадью более </w:t>
      </w:r>
      <w:smartTag w:uri="urn:schemas-microsoft-com:office:smarttags" w:element="metricconverter">
        <w:smartTagPr>
          <w:attr w:name="ProductID" w:val="240 кв. метров"/>
        </w:smartTagPr>
        <w:r w:rsidRPr="00C7465B">
          <w:t>240 кв. метров</w:t>
        </w:r>
      </w:smartTag>
      <w:r w:rsidRPr="00C7465B">
        <w:t xml:space="preserve">, и жилых домов, с жилой площадью более </w:t>
      </w:r>
      <w:smartTag w:uri="urn:schemas-microsoft-com:office:smarttags" w:element="metricconverter">
        <w:smartTagPr>
          <w:attr w:name="ProductID" w:val="500 кв. метров"/>
        </w:smartTagPr>
        <w:r w:rsidRPr="00C7465B">
          <w:t>500 кв. метров</w:t>
        </w:r>
      </w:smartTag>
      <w:r w:rsidRPr="00C7465B">
        <w:t xml:space="preserve"> - 2,7%</w:t>
      </w:r>
    </w:p>
    <w:p w:rsidR="00C7465B" w:rsidRPr="00C7465B" w:rsidRDefault="00C7465B" w:rsidP="00F91114">
      <w:pPr>
        <w:jc w:val="both"/>
      </w:pPr>
    </w:p>
    <w:p w:rsidR="00C7465B" w:rsidRPr="00C7465B" w:rsidRDefault="00C7465B" w:rsidP="00F91114">
      <w:pPr>
        <w:ind w:firstLine="540"/>
        <w:jc w:val="both"/>
      </w:pPr>
      <w:r w:rsidRPr="00C7465B">
        <w:t>Размер минимальной заработной платы ежегодно определяется Законом Украины «О государственном бюджете».</w:t>
      </w:r>
    </w:p>
    <w:p w:rsidR="00C7465B" w:rsidRPr="00C7465B" w:rsidRDefault="00C7465B" w:rsidP="00053C34">
      <w:pPr>
        <w:ind w:firstLine="540"/>
        <w:jc w:val="both"/>
      </w:pPr>
      <w:r w:rsidRPr="00C7465B">
        <w:t>На 2011 год минимальная заработная плата установлена в размере</w:t>
      </w:r>
    </w:p>
    <w:p w:rsidR="00C7465B" w:rsidRPr="00C7465B" w:rsidRDefault="00C7465B" w:rsidP="00053C34">
      <w:pPr>
        <w:ind w:firstLine="540"/>
        <w:jc w:val="both"/>
      </w:pPr>
      <w:r w:rsidRPr="00C7465B">
        <w:t>941 грн. – с 01.01.2011 по 31.03.2011</w:t>
      </w:r>
    </w:p>
    <w:p w:rsidR="00C7465B" w:rsidRPr="00C7465B" w:rsidRDefault="00C7465B" w:rsidP="00053C34">
      <w:pPr>
        <w:ind w:firstLine="540"/>
        <w:jc w:val="both"/>
      </w:pPr>
      <w:r w:rsidRPr="00C7465B">
        <w:t>960 грн. – с 01.04.2011 по 31.09.2011</w:t>
      </w:r>
    </w:p>
    <w:p w:rsidR="00C7465B" w:rsidRPr="00C7465B" w:rsidRDefault="00C7465B" w:rsidP="00053C34">
      <w:pPr>
        <w:ind w:firstLine="540"/>
        <w:jc w:val="both"/>
      </w:pPr>
      <w:r w:rsidRPr="00C7465B">
        <w:t>985 грн. – с 01.10.2011 по 31.11.2011</w:t>
      </w:r>
    </w:p>
    <w:p w:rsidR="00053C34" w:rsidRPr="00C7465B" w:rsidRDefault="00C7465B" w:rsidP="00F91114">
      <w:pPr>
        <w:ind w:firstLine="540"/>
        <w:jc w:val="both"/>
      </w:pPr>
      <w:r w:rsidRPr="00C7465B">
        <w:t>1004 грн. – с 01.12.2011</w:t>
      </w:r>
    </w:p>
    <w:p w:rsidR="00C7465B" w:rsidRPr="00053C34" w:rsidRDefault="00C7465B" w:rsidP="00053C34">
      <w:pPr>
        <w:ind w:firstLine="540"/>
        <w:jc w:val="both"/>
        <w:rPr>
          <w:b/>
        </w:rPr>
      </w:pPr>
      <w:r w:rsidRPr="00053C34">
        <w:rPr>
          <w:b/>
        </w:rPr>
        <w:t>Порядок начисления суммы налога на недвижимость</w:t>
      </w:r>
    </w:p>
    <w:p w:rsidR="00C7465B" w:rsidRPr="00C7465B" w:rsidRDefault="00C7465B" w:rsidP="00053C34">
      <w:pPr>
        <w:ind w:firstLine="540"/>
        <w:jc w:val="both"/>
      </w:pPr>
      <w:r w:rsidRPr="00C7465B">
        <w:t>Для физических лиц, налог на недвижимость начисляется (рассчитывается) органами налоговой службы по местонахождению объекта жилой недвижимости по данным Государственного реестра вещевых прав на недвижимое имущество. Если у налогоплательщика несколько объектов жилой недвижимости, то налог рассчитывается отдельно по каждому объекту.</w:t>
      </w:r>
    </w:p>
    <w:p w:rsidR="00C7465B" w:rsidRPr="00C7465B" w:rsidRDefault="00C7465B" w:rsidP="00053C34">
      <w:pPr>
        <w:ind w:firstLine="540"/>
        <w:jc w:val="both"/>
      </w:pPr>
      <w:r w:rsidRPr="00C7465B">
        <w:t>Государственный реестр вещевых прав на недвижимое имущество - это государственная информационная система, содержащая сведения о правах на недвижимое имущество, отягчения, а также информацию о самой недвижимости и собственниках, арендаторах, арендодателях, залогодержателях и залогодателях недвижимого имущества.</w:t>
      </w:r>
    </w:p>
    <w:p w:rsidR="00C7465B" w:rsidRPr="00C7465B" w:rsidRDefault="00C7465B" w:rsidP="00053C34">
      <w:pPr>
        <w:ind w:firstLine="540"/>
        <w:jc w:val="both"/>
      </w:pPr>
      <w:r w:rsidRPr="00C7465B">
        <w:t>Бюро Технической Инвентаризации, а также паспортные столы, и другие органы, осуществляющие регистрацию места проживания физических лиц, в 2011 году - до 15 апреля, а начиная с 2012 года - ежеквартально до 15 числа первого месяца квартала, должны подавать в органы налоговой службы информацию, необходимую для расчета налога на недвижимость.</w:t>
      </w:r>
    </w:p>
    <w:p w:rsidR="00C7465B" w:rsidRPr="00C7465B" w:rsidRDefault="00C7465B" w:rsidP="00053C34">
      <w:pPr>
        <w:ind w:firstLine="540"/>
        <w:jc w:val="both"/>
      </w:pPr>
      <w:r w:rsidRPr="00C7465B">
        <w:t>Для уплаты налога на недвижимость, орган налоговой службы, отправляет до 1 июня по месту нахождения объекта недвижимости налоговое уведомление-решение. В налоговом уведомлении-решении должны быть указаны сума налога, подлежащая к уплате и реквизиты для уплаты налога.</w:t>
      </w:r>
    </w:p>
    <w:p w:rsidR="00C7465B" w:rsidRPr="00C7465B" w:rsidRDefault="00C7465B" w:rsidP="00053C34">
      <w:pPr>
        <w:ind w:firstLine="540"/>
        <w:jc w:val="both"/>
      </w:pPr>
      <w:r w:rsidRPr="00C7465B">
        <w:t>Налоговое уведомление-решение считается отправленным налогоплательщику, если оно было отправлено с уведомлением о вручении. А это значит, что получив налоговое уведомление-решение, почтальон или другой работник почты, просит Вас своей подписью в уведомлении о вручении подтвердить получение налогового уведомления-решения.</w:t>
      </w:r>
    </w:p>
    <w:p w:rsidR="00053C34" w:rsidRPr="00C7465B" w:rsidRDefault="00C7465B" w:rsidP="00F91114">
      <w:pPr>
        <w:ind w:firstLine="540"/>
        <w:jc w:val="both"/>
      </w:pPr>
      <w:r w:rsidRPr="00C7465B">
        <w:t>В том случае, если налоговое уведомление-решение не может быть вручено, например, в связи с отказом налогоплательщика получить налоговое уведомление-решение или в связи с отсутствием налогоплательщика по месту регистрации, то налоговое уведомление-решение считается врученным налогоплательщику в день, указанный почтовой службой в уведомлении о вручении с указанием причин невручения. Последствия неполучения налогового уведомления-решения очевидны - начинают насчитываться штрафные санкции и пеня.</w:t>
      </w:r>
    </w:p>
    <w:p w:rsidR="00C7465B" w:rsidRPr="00C7465B" w:rsidRDefault="00C7465B" w:rsidP="00053C34">
      <w:pPr>
        <w:ind w:firstLine="540"/>
        <w:jc w:val="both"/>
      </w:pPr>
      <w:r w:rsidRPr="00C7465B">
        <w:t>При смене собственника жилой недвижимости, налог начисляется:</w:t>
      </w:r>
    </w:p>
    <w:p w:rsidR="00C7465B" w:rsidRPr="00C7465B" w:rsidRDefault="00C7465B" w:rsidP="00053C34">
      <w:pPr>
        <w:ind w:firstLine="540"/>
        <w:jc w:val="both"/>
      </w:pPr>
      <w:r w:rsidRPr="00C7465B">
        <w:t>для предыдущего собственника - с 1 января, года отчуждения недвижимости до даты отчуждения</w:t>
      </w:r>
    </w:p>
    <w:p w:rsidR="00053C34" w:rsidRPr="00C7465B" w:rsidRDefault="00C7465B" w:rsidP="00F91114">
      <w:pPr>
        <w:ind w:firstLine="540"/>
        <w:jc w:val="both"/>
      </w:pPr>
      <w:r w:rsidRPr="00C7465B">
        <w:t>для нового собственника – с 1-го числа месяца приобретения права собственности на недвижимость до 31 декабря отчетного года.</w:t>
      </w:r>
    </w:p>
    <w:p w:rsidR="00C7465B" w:rsidRPr="00053C34" w:rsidRDefault="00C7465B" w:rsidP="00053C34">
      <w:pPr>
        <w:ind w:firstLine="540"/>
        <w:jc w:val="both"/>
        <w:rPr>
          <w:b/>
        </w:rPr>
      </w:pPr>
      <w:r w:rsidRPr="00053C34">
        <w:rPr>
          <w:b/>
        </w:rPr>
        <w:t>Порядок уплати налога на недвижимость и сроки уплаты налога</w:t>
      </w:r>
    </w:p>
    <w:p w:rsidR="00C7465B" w:rsidRPr="00C7465B" w:rsidRDefault="00C7465B" w:rsidP="00053C34">
      <w:pPr>
        <w:ind w:firstLine="540"/>
        <w:jc w:val="both"/>
      </w:pPr>
      <w:r w:rsidRPr="00C7465B">
        <w:t>Налог платится по месту нахождения объекта недвижимости в течении 60 дней с даты получения налогового уведомления-решения через отделения банков или почты по реквизитам и в сумме указанных в налоговом уведомлении-решении .</w:t>
      </w:r>
    </w:p>
    <w:p w:rsidR="00C7465B" w:rsidRPr="00C7465B" w:rsidRDefault="00C7465B" w:rsidP="00F91114">
      <w:pPr>
        <w:ind w:firstLine="540"/>
        <w:jc w:val="both"/>
      </w:pPr>
      <w:r w:rsidRPr="00C7465B">
        <w:t>Расчет налога на недвижимость можно проверить по такой формуле:</w:t>
      </w:r>
    </w:p>
    <w:p w:rsidR="00C7465B" w:rsidRPr="00C7465B" w:rsidRDefault="00C7465B" w:rsidP="00053C34">
      <w:pPr>
        <w:ind w:firstLine="540"/>
        <w:jc w:val="both"/>
      </w:pPr>
      <w:r w:rsidRPr="00C7465B">
        <w:t>Для квартиры с жилой площадью 150 кв. м:</w:t>
      </w:r>
    </w:p>
    <w:p w:rsidR="00C7465B" w:rsidRPr="00C7465B" w:rsidRDefault="00C7465B" w:rsidP="00053C34">
      <w:pPr>
        <w:ind w:firstLine="540"/>
        <w:jc w:val="both"/>
      </w:pPr>
      <w:r w:rsidRPr="00C7465B">
        <w:t>(</w:t>
      </w:r>
      <w:smartTag w:uri="urn:schemas-microsoft-com:office:smarttags" w:element="metricconverter">
        <w:smartTagPr>
          <w:attr w:name="ProductID" w:val="150 кв. м"/>
        </w:smartTagPr>
        <w:r w:rsidRPr="00C7465B">
          <w:t>150 кв. м</w:t>
        </w:r>
      </w:smartTag>
      <w:r w:rsidRPr="00C7465B">
        <w:t xml:space="preserve"> – </w:t>
      </w:r>
      <w:smartTag w:uri="urn:schemas-microsoft-com:office:smarttags" w:element="metricconverter">
        <w:smartTagPr>
          <w:attr w:name="ProductID" w:val="120 кв. м"/>
        </w:smartTagPr>
        <w:r w:rsidRPr="00C7465B">
          <w:t>120 кв. м</w:t>
        </w:r>
      </w:smartTag>
      <w:r w:rsidRPr="00C7465B">
        <w:t xml:space="preserve">) = </w:t>
      </w:r>
      <w:smartTag w:uri="urn:schemas-microsoft-com:office:smarttags" w:element="metricconverter">
        <w:smartTagPr>
          <w:attr w:name="ProductID" w:val="30 кв. м"/>
        </w:smartTagPr>
        <w:r w:rsidRPr="00C7465B">
          <w:t>30 кв. м</w:t>
        </w:r>
      </w:smartTag>
      <w:r w:rsidRPr="00C7465B">
        <w:t>. – база налогообложения</w:t>
      </w:r>
    </w:p>
    <w:p w:rsidR="00C7465B" w:rsidRPr="00C7465B" w:rsidRDefault="00C7465B" w:rsidP="00053C34">
      <w:pPr>
        <w:ind w:firstLine="540"/>
        <w:jc w:val="both"/>
      </w:pPr>
      <w:r w:rsidRPr="00C7465B">
        <w:t xml:space="preserve">1 % от 941 грн (минимальная заработная плата на 01.01.2011) = 9,41 : за 1 кв.м Х </w:t>
      </w:r>
      <w:smartTag w:uri="urn:schemas-microsoft-com:office:smarttags" w:element="metricconverter">
        <w:smartTagPr>
          <w:attr w:name="ProductID" w:val="30 м"/>
        </w:smartTagPr>
        <w:r w:rsidRPr="00C7465B">
          <w:t>30 м</w:t>
        </w:r>
      </w:smartTag>
      <w:r w:rsidRPr="00C7465B">
        <w:t>. = 282,30 грн.</w:t>
      </w:r>
    </w:p>
    <w:p w:rsidR="00C7465B" w:rsidRPr="00C7465B" w:rsidRDefault="00C7465B" w:rsidP="00053C34">
      <w:pPr>
        <w:ind w:firstLine="540"/>
        <w:jc w:val="both"/>
      </w:pPr>
      <w:r w:rsidRPr="00C7465B">
        <w:t xml:space="preserve">Для дома с жилой площадью </w:t>
      </w:r>
      <w:smartTag w:uri="urn:schemas-microsoft-com:office:smarttags" w:element="metricconverter">
        <w:smartTagPr>
          <w:attr w:name="ProductID" w:val="300 кв. м"/>
        </w:smartTagPr>
        <w:r w:rsidRPr="00C7465B">
          <w:t>300 кв. м</w:t>
        </w:r>
      </w:smartTag>
      <w:r w:rsidRPr="00C7465B">
        <w:t>.</w:t>
      </w:r>
    </w:p>
    <w:p w:rsidR="00C7465B" w:rsidRPr="00C7465B" w:rsidRDefault="00C7465B" w:rsidP="00053C34">
      <w:pPr>
        <w:ind w:firstLine="540"/>
        <w:jc w:val="both"/>
      </w:pPr>
      <w:r w:rsidRPr="00C7465B">
        <w:t>(</w:t>
      </w:r>
      <w:smartTag w:uri="urn:schemas-microsoft-com:office:smarttags" w:element="metricconverter">
        <w:smartTagPr>
          <w:attr w:name="ProductID" w:val="300 кв. м"/>
        </w:smartTagPr>
        <w:r w:rsidRPr="00C7465B">
          <w:t>300 кв. м</w:t>
        </w:r>
      </w:smartTag>
      <w:r w:rsidRPr="00C7465B">
        <w:t xml:space="preserve">. - </w:t>
      </w:r>
      <w:smartTag w:uri="urn:schemas-microsoft-com:office:smarttags" w:element="metricconverter">
        <w:smartTagPr>
          <w:attr w:name="ProductID" w:val="250 кв. м"/>
        </w:smartTagPr>
        <w:r w:rsidRPr="00C7465B">
          <w:t>250 кв. м</w:t>
        </w:r>
      </w:smartTag>
      <w:r w:rsidRPr="00C7465B">
        <w:t xml:space="preserve">) = </w:t>
      </w:r>
      <w:smartTag w:uri="urn:schemas-microsoft-com:office:smarttags" w:element="metricconverter">
        <w:smartTagPr>
          <w:attr w:name="ProductID" w:val="50 кв. м"/>
        </w:smartTagPr>
        <w:r w:rsidRPr="00C7465B">
          <w:t>50 кв. м</w:t>
        </w:r>
      </w:smartTag>
      <w:r w:rsidRPr="00C7465B">
        <w:t>. – база налогообложения</w:t>
      </w:r>
    </w:p>
    <w:p w:rsidR="00053C34" w:rsidRPr="00053C34" w:rsidRDefault="00C7465B" w:rsidP="00F91114">
      <w:pPr>
        <w:ind w:firstLine="540"/>
        <w:jc w:val="both"/>
      </w:pPr>
      <w:r w:rsidRPr="00C7465B">
        <w:t xml:space="preserve">1 % от 941 грн (минимальная заработная плата на 01.01.2011) = 9,41 : за 1 кв.м Х </w:t>
      </w:r>
      <w:smartTag w:uri="urn:schemas-microsoft-com:office:smarttags" w:element="metricconverter">
        <w:smartTagPr>
          <w:attr w:name="ProductID" w:val="50 м"/>
        </w:smartTagPr>
        <w:r w:rsidRPr="00C7465B">
          <w:t>50 м</w:t>
        </w:r>
      </w:smartTag>
      <w:r w:rsidRPr="00C7465B">
        <w:t>. = 470,50 грн.</w:t>
      </w:r>
    </w:p>
    <w:p w:rsidR="00C7465B" w:rsidRPr="00053C34" w:rsidRDefault="00C7465B" w:rsidP="00C7465B">
      <w:pPr>
        <w:ind w:firstLine="709"/>
        <w:jc w:val="center"/>
        <w:rPr>
          <w:b/>
          <w:sz w:val="32"/>
          <w:szCs w:val="32"/>
        </w:rPr>
      </w:pPr>
      <w:r w:rsidRPr="00C7465B">
        <w:rPr>
          <w:b/>
          <w:sz w:val="32"/>
          <w:szCs w:val="32"/>
        </w:rPr>
        <w:t>Налог на прибыль в Германии</w:t>
      </w:r>
    </w:p>
    <w:p w:rsidR="00053C34" w:rsidRPr="00053C34" w:rsidRDefault="00053C34" w:rsidP="00C7465B">
      <w:pPr>
        <w:ind w:firstLine="709"/>
        <w:jc w:val="center"/>
        <w:rPr>
          <w:b/>
          <w:sz w:val="32"/>
          <w:szCs w:val="32"/>
        </w:rPr>
      </w:pPr>
    </w:p>
    <w:p w:rsidR="00C7465B" w:rsidRPr="00C7465B" w:rsidRDefault="00C7465B" w:rsidP="00C7465B">
      <w:pPr>
        <w:ind w:firstLine="709"/>
        <w:jc w:val="both"/>
      </w:pPr>
      <w:r w:rsidRPr="00C7465B">
        <w:t xml:space="preserve">В Германии налог на прибыль корпораций относится к общим налоговым поступлениям федераций и земель (50% средств от его уплаты направлено в федеральный бюджет, 50% – в бюджеты субъектов федерации). Корпорационным налогом облагаются Акционерные общества, кооперативы, страховые ассоциации, промышленные и коммерческие предприятия, институты и фонды, созданные для реализации специальных целей. </w:t>
      </w:r>
    </w:p>
    <w:p w:rsidR="00C7465B" w:rsidRPr="00C7465B" w:rsidRDefault="00C7465B" w:rsidP="00C7465B">
      <w:pPr>
        <w:ind w:firstLine="709"/>
        <w:jc w:val="both"/>
      </w:pPr>
      <w:r w:rsidRPr="00C7465B">
        <w:t xml:space="preserve">Резиденты, то есть корпорации и товарищества, если их руководящие органы находятся в пределах страны или на ее территории зарегистрированы, несут неограниченную налоговую ответственность, уплачивая налог со своих доходов, независимо от источника их получения, а нерезиденты (остальные налогоплательщики) подлежат ограниченной налоговой ответственности, распространяющейся только на доходы, получаемые на территории Германии. </w:t>
      </w:r>
    </w:p>
    <w:p w:rsidR="00C7465B" w:rsidRPr="00C7465B" w:rsidRDefault="00C7465B" w:rsidP="00C7465B">
      <w:pPr>
        <w:ind w:firstLine="709"/>
        <w:jc w:val="both"/>
      </w:pPr>
      <w:r w:rsidRPr="00C7465B">
        <w:t>Основу налога составляют прибыли от сельскохозяйственной, лесной, коммерческой деятельности, занятости на собственном предприятии, а при других типах дохода – превышение выручки над текущими расходами. Налог начисляется на доход, полученный корпорацией в течение календарного года. В Законе о налоге с корпораций содержатся различные налоговые ставки: 50% для нераспределенной прибыли, 36% для прибыли, распределяемой в виде дивидендов. Широко используется ускоренная амортизация. Например, в сельском хозяйстве разрешается уже в первый год списать до 50% стоимости оборудования, впервые три года – до 80%. Не облагается налогом проценты по ссудам.</w:t>
      </w:r>
    </w:p>
    <w:p w:rsidR="00C7465B" w:rsidRPr="00C7465B" w:rsidRDefault="00C7465B" w:rsidP="00C7465B">
      <w:pPr>
        <w:ind w:firstLine="709"/>
        <w:jc w:val="both"/>
      </w:pPr>
      <w:r w:rsidRPr="00C7465B">
        <w:t xml:space="preserve"> Для создания базы повышения или понижения тарифного налога с корпораций последние должны вести постоянный дифференцированный учет того, облагается ли, а если да, то в каком размере, распределяемый собственный капитал корпорационным налогом. Об этом корпорация представляет особую налоговую декларацию, на основании которой она получает платежное извещение. Налоговые декларации по итогам налогового периода предоставляется налогоплательщиками в налоговую инспекцию не позднее 31 марта следующего года. Налоговые декларации за отчетный год должны быть предоставлены не позднее 30 дней после его окончания. Налоговый агент обязан перечислить соответствующую сумму налога в течение 3-х дней после дня перечисления денежных средств. </w:t>
      </w:r>
    </w:p>
    <w:p w:rsidR="00C7465B" w:rsidRPr="00C7465B" w:rsidRDefault="00C7465B" w:rsidP="00C7465B">
      <w:pPr>
        <w:ind w:firstLine="709"/>
        <w:jc w:val="both"/>
        <w:rPr>
          <w:lang w:val="en-US"/>
        </w:rPr>
      </w:pPr>
      <w:r w:rsidRPr="00C7465B">
        <w:t>Законодатель предусматривает довольно широкий перечень льгот по данному налогу. От его уплаты полностью освобождаются</w:t>
      </w:r>
      <w:r w:rsidRPr="00C7465B">
        <w:rPr>
          <w:lang w:val="en-US"/>
        </w:rPr>
        <w:t>:</w:t>
      </w:r>
    </w:p>
    <w:p w:rsidR="00C7465B" w:rsidRPr="00C7465B" w:rsidRDefault="00C7465B" w:rsidP="00053C34">
      <w:pPr>
        <w:widowControl w:val="0"/>
        <w:numPr>
          <w:ilvl w:val="1"/>
          <w:numId w:val="8"/>
        </w:numPr>
        <w:tabs>
          <w:tab w:val="clear" w:pos="2404"/>
          <w:tab w:val="num" w:pos="0"/>
          <w:tab w:val="left" w:pos="360"/>
        </w:tabs>
        <w:ind w:left="0" w:firstLine="0"/>
        <w:jc w:val="both"/>
      </w:pPr>
      <w:r w:rsidRPr="00C7465B">
        <w:t>Федеральная почтовая администрация</w:t>
      </w:r>
    </w:p>
    <w:p w:rsidR="00C7465B" w:rsidRPr="00C7465B" w:rsidRDefault="00C7465B" w:rsidP="00053C34">
      <w:pPr>
        <w:widowControl w:val="0"/>
        <w:numPr>
          <w:ilvl w:val="1"/>
          <w:numId w:val="8"/>
        </w:numPr>
        <w:tabs>
          <w:tab w:val="clear" w:pos="2404"/>
          <w:tab w:val="num" w:pos="0"/>
          <w:tab w:val="left" w:pos="360"/>
        </w:tabs>
        <w:ind w:left="0" w:firstLine="0"/>
        <w:jc w:val="both"/>
      </w:pPr>
      <w:r w:rsidRPr="00C7465B">
        <w:t>Федеральная железная дорога</w:t>
      </w:r>
    </w:p>
    <w:p w:rsidR="00C7465B" w:rsidRPr="00C7465B" w:rsidRDefault="00C7465B" w:rsidP="00053C34">
      <w:pPr>
        <w:widowControl w:val="0"/>
        <w:numPr>
          <w:ilvl w:val="1"/>
          <w:numId w:val="8"/>
        </w:numPr>
        <w:tabs>
          <w:tab w:val="clear" w:pos="2404"/>
          <w:tab w:val="num" w:pos="0"/>
          <w:tab w:val="left" w:pos="360"/>
        </w:tabs>
        <w:ind w:left="0" w:firstLine="0"/>
        <w:jc w:val="both"/>
      </w:pPr>
      <w:r w:rsidRPr="00C7465B">
        <w:t>Бундесбанк</w:t>
      </w:r>
    </w:p>
    <w:p w:rsidR="00C7465B" w:rsidRPr="00C7465B" w:rsidRDefault="00C7465B" w:rsidP="00053C34">
      <w:pPr>
        <w:widowControl w:val="0"/>
        <w:numPr>
          <w:ilvl w:val="1"/>
          <w:numId w:val="8"/>
        </w:numPr>
        <w:tabs>
          <w:tab w:val="clear" w:pos="2404"/>
          <w:tab w:val="num" w:pos="0"/>
          <w:tab w:val="left" w:pos="360"/>
        </w:tabs>
        <w:ind w:left="0" w:firstLine="0"/>
        <w:jc w:val="both"/>
      </w:pPr>
      <w:r w:rsidRPr="00C7465B">
        <w:t>Корпорации</w:t>
      </w:r>
    </w:p>
    <w:p w:rsidR="00C7465B" w:rsidRPr="00C7465B" w:rsidRDefault="00C7465B" w:rsidP="00053C34">
      <w:pPr>
        <w:widowControl w:val="0"/>
        <w:numPr>
          <w:ilvl w:val="1"/>
          <w:numId w:val="8"/>
        </w:numPr>
        <w:tabs>
          <w:tab w:val="clear" w:pos="2404"/>
          <w:tab w:val="num" w:pos="0"/>
          <w:tab w:val="left" w:pos="360"/>
        </w:tabs>
        <w:ind w:left="0" w:firstLine="0"/>
        <w:jc w:val="both"/>
      </w:pPr>
      <w:r w:rsidRPr="00C7465B">
        <w:t>Ассоциации, занимающиеся жилищным строительством и связанными с этим проблемами, деятельность которых признана общественно полезной; профессиональные и торговые ассоциации при условии, что их конечные цели не являются коммерческими</w:t>
      </w:r>
    </w:p>
    <w:p w:rsidR="00C7465B" w:rsidRPr="00C7465B" w:rsidRDefault="00C7465B" w:rsidP="00053C34">
      <w:pPr>
        <w:widowControl w:val="0"/>
        <w:numPr>
          <w:ilvl w:val="1"/>
          <w:numId w:val="8"/>
        </w:numPr>
        <w:tabs>
          <w:tab w:val="clear" w:pos="2404"/>
          <w:tab w:val="num" w:pos="0"/>
          <w:tab w:val="left" w:pos="360"/>
          <w:tab w:val="left" w:pos="720"/>
        </w:tabs>
        <w:ind w:left="0" w:firstLine="0"/>
        <w:jc w:val="both"/>
      </w:pPr>
      <w:r w:rsidRPr="00C7465B">
        <w:t>трасты и фонды, ставящие перед собой некоммерческие, благотворительные или религиозные цели</w:t>
      </w:r>
    </w:p>
    <w:p w:rsidR="00C7465B" w:rsidRPr="00C7465B" w:rsidRDefault="00C7465B" w:rsidP="00053C34">
      <w:pPr>
        <w:widowControl w:val="0"/>
        <w:numPr>
          <w:ilvl w:val="1"/>
          <w:numId w:val="8"/>
        </w:numPr>
        <w:tabs>
          <w:tab w:val="clear" w:pos="2404"/>
          <w:tab w:val="num" w:pos="0"/>
          <w:tab w:val="left" w:pos="360"/>
          <w:tab w:val="left" w:pos="720"/>
        </w:tabs>
        <w:ind w:left="0" w:firstLine="0"/>
        <w:jc w:val="both"/>
      </w:pPr>
      <w:r w:rsidRPr="00C7465B">
        <w:t>пенсионные и аналогичные социальные фонды</w:t>
      </w:r>
    </w:p>
    <w:p w:rsidR="00C7465B" w:rsidRPr="00C7465B" w:rsidRDefault="00C7465B" w:rsidP="00053C34">
      <w:pPr>
        <w:widowControl w:val="0"/>
        <w:numPr>
          <w:ilvl w:val="1"/>
          <w:numId w:val="9"/>
        </w:numPr>
        <w:tabs>
          <w:tab w:val="clear" w:pos="2404"/>
          <w:tab w:val="num" w:pos="0"/>
          <w:tab w:val="left" w:pos="360"/>
          <w:tab w:val="left" w:pos="720"/>
        </w:tabs>
        <w:ind w:left="0" w:firstLine="0"/>
        <w:jc w:val="both"/>
      </w:pPr>
      <w:r w:rsidRPr="00C7465B">
        <w:t xml:space="preserve">сельскохозяйственные кооперативы и ассоциации. </w:t>
      </w:r>
    </w:p>
    <w:p w:rsidR="00C7465B" w:rsidRPr="00C7465B" w:rsidRDefault="00C7465B" w:rsidP="00C7465B">
      <w:pPr>
        <w:ind w:firstLine="709"/>
        <w:jc w:val="both"/>
      </w:pPr>
      <w:r w:rsidRPr="00C7465B">
        <w:t xml:space="preserve">Кроме того, при расчете облагаемого дохода среди прочих могут быть сделаны следующие вычеты: </w:t>
      </w:r>
    </w:p>
    <w:p w:rsidR="00C7465B" w:rsidRPr="00C7465B" w:rsidRDefault="00C7465B" w:rsidP="00053C34">
      <w:pPr>
        <w:widowControl w:val="0"/>
        <w:numPr>
          <w:ilvl w:val="1"/>
          <w:numId w:val="9"/>
        </w:numPr>
        <w:tabs>
          <w:tab w:val="clear" w:pos="2404"/>
          <w:tab w:val="num" w:pos="0"/>
          <w:tab w:val="left" w:pos="360"/>
          <w:tab w:val="left" w:pos="720"/>
        </w:tabs>
        <w:ind w:left="0" w:firstLine="0"/>
        <w:jc w:val="both"/>
      </w:pPr>
      <w:r w:rsidRPr="00C7465B">
        <w:t xml:space="preserve">издержки выпуска акций  </w:t>
      </w:r>
    </w:p>
    <w:p w:rsidR="00C7465B" w:rsidRPr="00C7465B" w:rsidRDefault="00C7465B" w:rsidP="00053C34">
      <w:pPr>
        <w:widowControl w:val="0"/>
        <w:numPr>
          <w:ilvl w:val="1"/>
          <w:numId w:val="9"/>
        </w:numPr>
        <w:tabs>
          <w:tab w:val="clear" w:pos="2404"/>
          <w:tab w:val="num" w:pos="0"/>
          <w:tab w:val="left" w:pos="360"/>
          <w:tab w:val="left" w:pos="720"/>
        </w:tabs>
        <w:ind w:left="0" w:firstLine="0"/>
        <w:jc w:val="both"/>
      </w:pPr>
      <w:r w:rsidRPr="00C7465B">
        <w:t xml:space="preserve">расходы, понесенные в связи с развитием научной деятельности </w:t>
      </w:r>
    </w:p>
    <w:p w:rsidR="00C7465B" w:rsidRPr="00C7465B" w:rsidRDefault="00C7465B" w:rsidP="00053C34">
      <w:pPr>
        <w:widowControl w:val="0"/>
        <w:numPr>
          <w:ilvl w:val="1"/>
          <w:numId w:val="9"/>
        </w:numPr>
        <w:tabs>
          <w:tab w:val="clear" w:pos="2404"/>
          <w:tab w:val="num" w:pos="0"/>
          <w:tab w:val="left" w:pos="360"/>
          <w:tab w:val="left" w:pos="720"/>
        </w:tabs>
        <w:ind w:left="0" w:firstLine="0"/>
        <w:jc w:val="both"/>
      </w:pPr>
      <w:r w:rsidRPr="00C7465B">
        <w:t>пр</w:t>
      </w:r>
      <w:r w:rsidR="00053C34">
        <w:t>оведением национальной политики</w:t>
      </w:r>
      <w:r w:rsidR="00053C34" w:rsidRPr="00053C34">
        <w:t xml:space="preserve"> </w:t>
      </w:r>
      <w:r w:rsidR="00053C34">
        <w:t xml:space="preserve">и </w:t>
      </w:r>
      <w:r w:rsidRPr="00C7465B">
        <w:t xml:space="preserve">проведение иных </w:t>
      </w:r>
      <w:r w:rsidR="00053C34" w:rsidRPr="00053C34">
        <w:t xml:space="preserve"> </w:t>
      </w:r>
      <w:r w:rsidRPr="00C7465B">
        <w:t xml:space="preserve">мероприятий. </w:t>
      </w:r>
    </w:p>
    <w:p w:rsidR="00C7465B" w:rsidRDefault="00C7465B" w:rsidP="00053C34">
      <w:pPr>
        <w:tabs>
          <w:tab w:val="left" w:pos="360"/>
          <w:tab w:val="left" w:pos="720"/>
        </w:tabs>
        <w:jc w:val="center"/>
        <w:rPr>
          <w:b/>
          <w:sz w:val="32"/>
          <w:szCs w:val="32"/>
        </w:rPr>
      </w:pPr>
      <w:r w:rsidRPr="00C7465B">
        <w:rPr>
          <w:b/>
        </w:rPr>
        <w:br w:type="page"/>
      </w:r>
      <w:r w:rsidRPr="00C7465B">
        <w:rPr>
          <w:b/>
          <w:sz w:val="32"/>
          <w:szCs w:val="32"/>
        </w:rPr>
        <w:t>Налог на прибыль в США</w:t>
      </w:r>
    </w:p>
    <w:p w:rsidR="00053C34" w:rsidRPr="00C7465B" w:rsidRDefault="00053C34" w:rsidP="00053C34">
      <w:pPr>
        <w:tabs>
          <w:tab w:val="left" w:pos="360"/>
          <w:tab w:val="left" w:pos="720"/>
        </w:tabs>
        <w:jc w:val="center"/>
        <w:rPr>
          <w:b/>
          <w:sz w:val="32"/>
          <w:szCs w:val="32"/>
          <w:lang w:val="en-US"/>
        </w:rPr>
      </w:pPr>
    </w:p>
    <w:p w:rsidR="00C7465B" w:rsidRPr="00C7465B" w:rsidRDefault="00C7465B" w:rsidP="00C7465B">
      <w:pPr>
        <w:ind w:firstLine="709"/>
        <w:jc w:val="both"/>
      </w:pPr>
      <w:r w:rsidRPr="00C7465B">
        <w:t>Налоговая система</w:t>
      </w:r>
      <w:r w:rsidRPr="00C7465B">
        <w:rPr>
          <w:b/>
        </w:rPr>
        <w:t xml:space="preserve"> </w:t>
      </w:r>
      <w:r w:rsidRPr="00C7465B">
        <w:t>Соединенных Штатов Америки развивается и совершенствуется уже более 200 лет и способствует развитию рыночных отношений. Налоги выполняют не только фискальную функцию, но и выступают  в качестве инструмента регулирования развития экономики. Формирование и движение бюджетных средств занимает центральное место  в реализации экономической политики американского государства.</w:t>
      </w:r>
    </w:p>
    <w:p w:rsidR="00C7465B" w:rsidRPr="00C7465B" w:rsidRDefault="00C7465B" w:rsidP="00C7465B">
      <w:pPr>
        <w:ind w:firstLine="709"/>
        <w:jc w:val="both"/>
      </w:pPr>
      <w:r w:rsidRPr="00C7465B">
        <w:t xml:space="preserve"> Налог на прибыль корпораций занимает третье место по доходности. Основная ставка налога США на доходы корпораций – 34%., уплачивается данный налог ступенчато: </w:t>
      </w:r>
    </w:p>
    <w:p w:rsidR="00C7465B" w:rsidRPr="00C7465B" w:rsidRDefault="00C7465B" w:rsidP="00C7465B">
      <w:pPr>
        <w:ind w:firstLine="709"/>
        <w:jc w:val="both"/>
      </w:pPr>
      <w:r w:rsidRPr="00C7465B">
        <w:t>15% за первые 50 тыс. долларов налогооблагаемого дохода,</w:t>
      </w:r>
    </w:p>
    <w:p w:rsidR="00C7465B" w:rsidRPr="00C7465B" w:rsidRDefault="00C7465B" w:rsidP="00C7465B">
      <w:pPr>
        <w:ind w:firstLine="709"/>
        <w:jc w:val="both"/>
      </w:pPr>
      <w:r w:rsidRPr="00C7465B">
        <w:t xml:space="preserve">25% - за следующие 25 тыс. долларов, </w:t>
      </w:r>
    </w:p>
    <w:p w:rsidR="00C7465B" w:rsidRPr="00C7465B" w:rsidRDefault="00C7465B" w:rsidP="00C7465B">
      <w:pPr>
        <w:ind w:firstLine="709"/>
        <w:jc w:val="both"/>
      </w:pPr>
      <w:r w:rsidRPr="00C7465B">
        <w:t>34% - на оставшуюся сумму.</w:t>
      </w:r>
    </w:p>
    <w:p w:rsidR="00C7465B" w:rsidRPr="00C7465B" w:rsidRDefault="00C7465B" w:rsidP="00C7465B">
      <w:pPr>
        <w:ind w:firstLine="709"/>
        <w:jc w:val="both"/>
        <w:rPr>
          <w:i/>
        </w:rPr>
      </w:pPr>
      <w:r w:rsidRPr="00C7465B">
        <w:t>Кроме того, с доходов от 100 до 335 тыс. долларов взимается дополнительный 5-процентный налог. Такое ступенчатое налогообложение серьезно поддерживает предприятия малого бизнеса. Кроме, того, в ряде отраслей применяются ускоренные нормы амортизации оборудования</w:t>
      </w:r>
      <w:r w:rsidRPr="00C7465B">
        <w:rPr>
          <w:i/>
        </w:rPr>
        <w:t>.</w:t>
      </w:r>
    </w:p>
    <w:p w:rsidR="00C7465B" w:rsidRPr="00C7465B" w:rsidRDefault="00C7465B" w:rsidP="00C7465B">
      <w:pPr>
        <w:ind w:firstLine="709"/>
        <w:jc w:val="both"/>
      </w:pPr>
      <w:r w:rsidRPr="00C7465B">
        <w:t>Помимо федерального налога, налоги на прибыль корпораций введены в штатах. Ставка налога, как правило, стабильна, хотя в отдельных штатах встречаются градуированная школа прогрессивного обложения.</w:t>
      </w:r>
    </w:p>
    <w:p w:rsidR="00C7465B" w:rsidRPr="00C7465B" w:rsidRDefault="00C7465B" w:rsidP="00C7465B">
      <w:pPr>
        <w:ind w:firstLine="709"/>
        <w:jc w:val="both"/>
      </w:pPr>
      <w:r w:rsidRPr="00C7465B">
        <w:t>Наиболее высок данный налог в штатах Айова – 12%, Коннектикут – 11,5%, округе Колумбия – 10,25%.  Самые низкие налоги в штатах Юта – 5%, Миссисипи – от 3 до 5%.</w:t>
      </w:r>
    </w:p>
    <w:p w:rsidR="00C7465B" w:rsidRPr="00C7465B" w:rsidRDefault="00C7465B" w:rsidP="00C7465B">
      <w:pPr>
        <w:ind w:firstLine="709"/>
        <w:jc w:val="both"/>
      </w:pPr>
      <w:r w:rsidRPr="00C7465B">
        <w:t>В США, как и в Германии, обложение корпорационными налогами сопровождается большим количеством льгот:</w:t>
      </w:r>
    </w:p>
    <w:p w:rsidR="00C7465B" w:rsidRPr="00C7465B" w:rsidRDefault="00C7465B" w:rsidP="00C7465B">
      <w:pPr>
        <w:widowControl w:val="0"/>
        <w:numPr>
          <w:ilvl w:val="0"/>
          <w:numId w:val="3"/>
        </w:numPr>
        <w:tabs>
          <w:tab w:val="clear" w:pos="1695"/>
        </w:tabs>
        <w:ind w:left="0" w:firstLine="709"/>
        <w:jc w:val="both"/>
      </w:pPr>
      <w:r w:rsidRPr="00C7465B">
        <w:t>из чистой прибыли вычитаются штатные и местные налоги на прибыль</w:t>
      </w:r>
    </w:p>
    <w:p w:rsidR="00C7465B" w:rsidRPr="00C7465B" w:rsidRDefault="00C7465B" w:rsidP="00C7465B">
      <w:pPr>
        <w:widowControl w:val="0"/>
        <w:numPr>
          <w:ilvl w:val="0"/>
          <w:numId w:val="3"/>
        </w:numPr>
        <w:tabs>
          <w:tab w:val="clear" w:pos="1695"/>
        </w:tabs>
        <w:ind w:left="0" w:firstLine="709"/>
        <w:jc w:val="both"/>
      </w:pPr>
      <w:r w:rsidRPr="00C7465B">
        <w:t>70-80% дивидендов, полученных от облагаемых налогом местных корпораций</w:t>
      </w:r>
    </w:p>
    <w:p w:rsidR="00C7465B" w:rsidRPr="00C7465B" w:rsidRDefault="00C7465B" w:rsidP="00C7465B">
      <w:pPr>
        <w:widowControl w:val="0"/>
        <w:numPr>
          <w:ilvl w:val="0"/>
          <w:numId w:val="3"/>
        </w:numPr>
        <w:tabs>
          <w:tab w:val="clear" w:pos="1695"/>
        </w:tabs>
        <w:ind w:left="0" w:firstLine="709"/>
        <w:jc w:val="both"/>
        <w:rPr>
          <w:lang w:val="en-US"/>
        </w:rPr>
      </w:pPr>
      <w:r w:rsidRPr="00C7465B">
        <w:t xml:space="preserve"> взносы в благотворительные фонды</w:t>
      </w:r>
    </w:p>
    <w:p w:rsidR="00C7465B" w:rsidRPr="00C7465B" w:rsidRDefault="00C7465B" w:rsidP="00C7465B">
      <w:pPr>
        <w:widowControl w:val="0"/>
        <w:numPr>
          <w:ilvl w:val="0"/>
          <w:numId w:val="3"/>
        </w:numPr>
        <w:tabs>
          <w:tab w:val="clear" w:pos="1695"/>
        </w:tabs>
        <w:ind w:left="0" w:firstLine="709"/>
        <w:jc w:val="both"/>
        <w:rPr>
          <w:lang w:val="en-US"/>
        </w:rPr>
      </w:pPr>
      <w:r w:rsidRPr="00C7465B">
        <w:t>систем</w:t>
      </w:r>
      <w:r w:rsidRPr="00C7465B">
        <w:rPr>
          <w:lang w:val="en-US"/>
        </w:rPr>
        <w:t>а</w:t>
      </w:r>
      <w:r w:rsidRPr="00C7465B">
        <w:t xml:space="preserve"> ускоренной амортизации</w:t>
      </w:r>
    </w:p>
    <w:p w:rsidR="00C7465B" w:rsidRPr="00C7465B" w:rsidRDefault="00C7465B" w:rsidP="00C7465B">
      <w:pPr>
        <w:widowControl w:val="0"/>
        <w:numPr>
          <w:ilvl w:val="0"/>
          <w:numId w:val="3"/>
        </w:numPr>
        <w:tabs>
          <w:tab w:val="clear" w:pos="1695"/>
        </w:tabs>
        <w:ind w:left="0" w:firstLine="709"/>
        <w:jc w:val="both"/>
        <w:rPr>
          <w:lang w:val="en-US"/>
        </w:rPr>
      </w:pPr>
      <w:r w:rsidRPr="00C7465B">
        <w:t>льготы на инвестиции</w:t>
      </w:r>
    </w:p>
    <w:p w:rsidR="00C7465B" w:rsidRPr="00C7465B" w:rsidRDefault="00C7465B" w:rsidP="00C7465B">
      <w:pPr>
        <w:widowControl w:val="0"/>
        <w:numPr>
          <w:ilvl w:val="0"/>
          <w:numId w:val="3"/>
        </w:numPr>
        <w:tabs>
          <w:tab w:val="clear" w:pos="1695"/>
        </w:tabs>
        <w:ind w:left="0" w:firstLine="709"/>
        <w:jc w:val="both"/>
        <w:rPr>
          <w:lang w:val="en-US"/>
        </w:rPr>
      </w:pPr>
      <w:r w:rsidRPr="00C7465B">
        <w:t xml:space="preserve">НИОКР. </w:t>
      </w:r>
    </w:p>
    <w:p w:rsidR="00C7465B" w:rsidRPr="00C7465B" w:rsidRDefault="00C7465B" w:rsidP="00C7465B">
      <w:pPr>
        <w:ind w:left="75" w:firstLine="709"/>
        <w:jc w:val="both"/>
      </w:pPr>
      <w:r w:rsidRPr="00C7465B">
        <w:t xml:space="preserve">Действуют налоговые скидки, стимулирующие использование альтернативных видов энергии. Компаниям предоставляется «налоговый кредит» в размере 50% стоимости произведенного оборудования, работающего с использованием солнечной энергии или энергии ветра. </w:t>
      </w:r>
    </w:p>
    <w:p w:rsidR="00C7465B" w:rsidRPr="00C7465B" w:rsidRDefault="00C7465B" w:rsidP="00C7465B">
      <w:pPr>
        <w:ind w:firstLine="709"/>
        <w:jc w:val="both"/>
      </w:pPr>
      <w:r w:rsidRPr="00C7465B">
        <w:t>При исчислении налога на прибыль не учитываются удорожание стоимости активов, если только оно не реализуется путем продажи. Действуют и другие налоговые льготы. Наряду с многочисленными льготами в особых случаях юридические лица обязываются уплачивать налог на сверхприбыль. Например. Такой налог применялся во время войны во Вьетнаме. В начале 80-х годов был введен налог на сверх прибыль от нефти, который должен был уменьшить предполагаемый рост прибыли нефтяных компаний от снятия контроля за внутренними ценами на нефть. Базой налогообложения служила разница между фактической продажной ценой  нефти и ее базовой ценой.</w:t>
      </w:r>
    </w:p>
    <w:p w:rsidR="00C7465B" w:rsidRPr="00C7465B" w:rsidRDefault="00C7465B" w:rsidP="00C7465B">
      <w:pPr>
        <w:ind w:firstLine="709"/>
        <w:jc w:val="both"/>
      </w:pPr>
      <w:r w:rsidRPr="00C7465B">
        <w:t xml:space="preserve">В 2003г. компания </w:t>
      </w:r>
      <w:r w:rsidRPr="00C7465B">
        <w:rPr>
          <w:lang w:val="en-US"/>
        </w:rPr>
        <w:t>KPMG</w:t>
      </w:r>
      <w:r w:rsidRPr="00C7465B">
        <w:t xml:space="preserve"> провела сравнительный анализ ставок корпоративного налога в 68 странах мира по состоянию на 1 января 2002 и на 1 января 2003г. В подавляющем большинстве стран (48) ставки корпоративного налога в течение года остались без изменений, в 12 странах они понизились и в 8 странах – повысились. Полученные результаты являются весьма относительными, поскольку  довольно сложно выявить какую-либо закономерность за столь короткое время.</w:t>
      </w:r>
    </w:p>
    <w:p w:rsidR="00C7465B" w:rsidRPr="00C7465B" w:rsidRDefault="00C7465B" w:rsidP="00C7465B">
      <w:pPr>
        <w:ind w:firstLine="709"/>
        <w:jc w:val="both"/>
      </w:pPr>
      <w:r w:rsidRPr="00C7465B">
        <w:t>Налоговые исследования, проведенные ОЭСР за более длительный период времени (с 1986г. по 2003г.), показали устойчивое снижение корпоративного налога на прибыль в большинстве стран, входящих в эту международную организацию (табл.1.).</w:t>
      </w:r>
      <w:r w:rsidRPr="00C7465B">
        <w:rPr>
          <w:color w:val="993300"/>
        </w:rPr>
        <w:t xml:space="preserve"> </w:t>
      </w:r>
      <w:r w:rsidRPr="00C7465B">
        <w:t>Самый высокий уровень снижения за рассматриваемый период времени зафиксировано в Ирландии (с 50% до 24%). Корпоративный налог в этой стране за последние 17 лет снизился в 4 раза.</w:t>
      </w:r>
    </w:p>
    <w:p w:rsidR="00C7465B" w:rsidRPr="00C7465B" w:rsidRDefault="00C7465B" w:rsidP="00C7465B">
      <w:pPr>
        <w:ind w:firstLine="709"/>
        <w:jc w:val="both"/>
      </w:pPr>
      <w:r w:rsidRPr="00C7465B">
        <w:t xml:space="preserve">Ирландия является наиболее ярким примером эффективного использования налогового инструмента для подъема экономики. Создание в 1987г. в Дублине Международного центра финансовых услуг (МЦФУ) с льготным налоговым режимом для иностранных компаний обеспечило не только значительный приток иностранного капитала, но и способствовало повышению авторитета банковского сектора страны в мировом банковском сообществе. Вклад МЦФУ в экономику Ирландии оценивается в размере 1,2 млрд. долл. США. Годовой рост ВВП за период с </w:t>
      </w:r>
      <w:smartTag w:uri="urn:schemas-microsoft-com:office:smarttags" w:element="metricconverter">
        <w:smartTagPr>
          <w:attr w:name="ProductID" w:val="1992 г"/>
        </w:smartTagPr>
        <w:r w:rsidRPr="00C7465B">
          <w:t>1992 г</w:t>
        </w:r>
      </w:smartTag>
      <w:r w:rsidRPr="00C7465B">
        <w:t xml:space="preserve">. по </w:t>
      </w:r>
      <w:smartTag w:uri="urn:schemas-microsoft-com:office:smarttags" w:element="metricconverter">
        <w:smartTagPr>
          <w:attr w:name="ProductID" w:val="2002 г"/>
        </w:smartTagPr>
        <w:r w:rsidRPr="00C7465B">
          <w:t>2002 г</w:t>
        </w:r>
      </w:smartTag>
      <w:r w:rsidRPr="00C7465B">
        <w:t>. составил 7,9%, и по этому показателю Ирландия значительно опережает другие индустриально развитые страны. По размеру ВВП на душу населения (31700 долл. США) Ирландия уступает только Люксембургу (50600 долл.), Норвегии (37100 долл.) и США (36100 долл.)</w:t>
      </w:r>
      <w:r w:rsidRPr="00C7465B">
        <w:rPr>
          <w:rStyle w:val="a5"/>
        </w:rPr>
        <w:footnoteReference w:id="1"/>
      </w:r>
      <w:r w:rsidRPr="00C7465B">
        <w:t>.</w:t>
      </w:r>
    </w:p>
    <w:p w:rsidR="00C7465B" w:rsidRPr="00C7465B" w:rsidRDefault="00C7465B" w:rsidP="00C7465B">
      <w:pPr>
        <w:ind w:firstLine="709"/>
        <w:jc w:val="both"/>
      </w:pPr>
      <w:r w:rsidRPr="00C7465B">
        <w:t xml:space="preserve">Кроме снижения налога на прибыль корпораций, многие страны с целью привлечения иностранных инвестиций  идут на уменьшение или отмену других налогов на капитал. Норвегия, Швеция, Дания, Австрия  и некоторые другие европейские страны установили низкие фиксированные ставки налога на прибыль, полученную по процентам и дивидендам. </w:t>
      </w:r>
    </w:p>
    <w:p w:rsidR="00C7465B" w:rsidRPr="00C7465B" w:rsidRDefault="00C7465B" w:rsidP="00C7465B">
      <w:pPr>
        <w:ind w:firstLine="709"/>
        <w:jc w:val="both"/>
      </w:pPr>
      <w:r w:rsidRPr="00C7465B">
        <w:t xml:space="preserve">Наглядный пример тому – США. В результате существенного снижения процентных ставок и резкого уменьшения прибыли приток прямых инвестиций в эту страну в </w:t>
      </w:r>
      <w:smartTag w:uri="urn:schemas-microsoft-com:office:smarttags" w:element="metricconverter">
        <w:smartTagPr>
          <w:attr w:name="ProductID" w:val="2002 г"/>
        </w:smartTagPr>
        <w:r w:rsidRPr="00C7465B">
          <w:t>2002 г</w:t>
        </w:r>
      </w:smartTag>
      <w:r w:rsidRPr="00C7465B">
        <w:t xml:space="preserve">. сократился  почти в 5 раз по сравнению с 2001г., а отток </w:t>
      </w:r>
      <w:r w:rsidRPr="00C7465B">
        <w:rPr>
          <w:lang w:val="en-US"/>
        </w:rPr>
        <w:t>FDI</w:t>
      </w:r>
      <w:r w:rsidRPr="00C7465B">
        <w:t xml:space="preserve"> из США в 2002г. превысил 120 млрд. долл.</w:t>
      </w:r>
      <w:r w:rsidRPr="00C7465B">
        <w:rPr>
          <w:rStyle w:val="a5"/>
        </w:rPr>
        <w:footnoteReference w:id="2"/>
      </w:r>
    </w:p>
    <w:p w:rsidR="00C7465B" w:rsidRDefault="00C7465B" w:rsidP="00C7465B">
      <w:pPr>
        <w:ind w:firstLine="709"/>
        <w:jc w:val="both"/>
        <w:rPr>
          <w:lang w:val="en-US"/>
        </w:rPr>
      </w:pPr>
      <w:r w:rsidRPr="00C7465B">
        <w:t>Доходы, полученные от сбора налогов, обеспечивает основное пополнение правительственных бюджетов и играет существенную роль в экономике развитых стран (табл. 2.).</w:t>
      </w: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Default="00C7465B" w:rsidP="00C7465B">
      <w:pPr>
        <w:ind w:firstLine="709"/>
        <w:jc w:val="both"/>
        <w:rPr>
          <w:lang w:val="en-US"/>
        </w:rPr>
      </w:pPr>
    </w:p>
    <w:p w:rsidR="00C7465B" w:rsidRPr="00053C34" w:rsidRDefault="00C7465B" w:rsidP="00053C34">
      <w:pPr>
        <w:jc w:val="both"/>
      </w:pPr>
    </w:p>
    <w:p w:rsidR="00C7465B" w:rsidRDefault="00C7465B" w:rsidP="00C7465B">
      <w:pPr>
        <w:jc w:val="center"/>
        <w:rPr>
          <w:b/>
          <w:sz w:val="32"/>
          <w:szCs w:val="32"/>
          <w:lang w:val="en-US"/>
        </w:rPr>
      </w:pPr>
      <w:r w:rsidRPr="00C7465B">
        <w:rPr>
          <w:b/>
          <w:sz w:val="32"/>
          <w:szCs w:val="32"/>
        </w:rPr>
        <w:t>Налоговая система США</w:t>
      </w:r>
    </w:p>
    <w:p w:rsidR="00C7465B" w:rsidRPr="00C7465B" w:rsidRDefault="00C7465B" w:rsidP="00C7465B">
      <w:pPr>
        <w:jc w:val="center"/>
        <w:rPr>
          <w:b/>
          <w:sz w:val="32"/>
          <w:szCs w:val="32"/>
          <w:lang w:val="en-US"/>
        </w:rPr>
      </w:pP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Налоговая система США исходит в основе своего построения из общего экономического принципа либерализации, сущность которого заключается в максимально возможном использовании объективно действующих рыночных регуляторов экономического развития. С организационной точки зрения данная система налогообложения является трехуровневой и включает федеральные налоги, налоги штатов и местные налоги (графств, муниципалитетов, округов и других государственных территориальных образований).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С точки зрения использования экономического (стимулирующего) потенциала системы инвестиционный потенциал налоговой системы США реализуется через следующие главные элементы:</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применение норм ускоренной амортизации основных фондов предприятий, позволяющих увеличивать долю издержек и соответственно снижать долю прибыли в цене продукции и услуг, что представляет собой форму льготы в части налога на прибыль, а также способ стимулирования инвестиций в развитие хозяйствующих субъектов;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масштабные льготы, касающиеся инвестиций в научно-исследовательские и опытно-конструкторские работы вплоть до полного освобождения соответствующих затрат и результатов от большинства видов налогообложения;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специальные налоговые скидки за использование альтернативных видов энергии в производственно-хозяйственной деятельности субъектов экономики, которые могут составлять до 50% стоимости соответствующих видов оборудования, исключаемых из налогооблагаемой базы.</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Несмотря на законодательно установленные широкие права территорий, региональный потенциал в налогообложении США не используется в значимой степени, поскольку около 70% налоговых поступлений проходит через федеральный бюджет и их часть перераспределяется между регионами (штатами) централизованно с объективными негативными последствиями.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Однако в последнее время сформировалась ощутимая тенденция увеличения собственных налоговых доходов штатов, например, в таких сферах, как социальное обеспечение, здравоохранение, охрана общественного порядка (содержание полиции), обеспечивающих около 90% расходов. Тем не менее главным источником формирования доходов региональных бюджетов (более 70%) остаются субсидии федерального бюджета.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Реализацию отраслевого потенциала рассматриваемой налоговой системы (в силу отмеченной принципиальной особенности экономики США) также нельзя признать существенной. Она ограничена различными нормами ускоренной амортизации для конкретных отраслей, а также достаточно редкими (и представляющими собой фактически исключение из общего правила) налоговыми скидками, например, предоставляемыми добывающим отраслям в порядке компенсации за истощение недр.</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Конкурентный потенциал системы налогообложения США задействован в весьма значительной степени через два основных инструмента: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прогрессивное налогообложение доходов корпораций, которое предполагает увеличение ставок налога на прибыль при росте налогооблагаемой базы;</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использование налогов на сверхприбыль, то есть специальных ставок налога (которые могут достигать 90%) в случае, если прибыль хозяйствующего субъекта значительно выше среднеотраслевой.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Практическая реализация фискальной функции в налоговой системе США характеризуется в первую очередь тем, что в ее основе лежит налогообложение физических лиц (населения). При этом основными видами налогов являются: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подоходный налог, за счет которого формируется более 40% доходов федерального бюджета и примерно такая же для налоговых доходов штатов;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отчисления в фонды социального страхования, которые в равных долях делают наниматель (юридическое лицо-субъект хозяйствования) рабочие (этот платеж населения составляет более 15 % доходов федерального бюджета).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Необходимо отметить и то, что в условиях переноса основного</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налогового бремени на население представляется объективно оправданной сложная система исчисления соответствующего налогооблагаемого дохода, включающая возможность исключения (полного или частичного) определенных видов доходов, скользящий необходимый минимум дохода, ряд индивидуальных (для отдельных категорий населения) налоговых льгот, а также специфическая шкала ставок налога, три ступени которой предполагают их повышение, а четвертая (для самых высоких доходов) – понижение с целью предотвращения уклонения от уплаты налогов.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При этом налогообложение юридических лиц (хозяйствующих субъектов) в рассматриваемой системе ограничено применением таких налогов, как:</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налог на прибыль корпораций (около 9% доходов федерального</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бюджета и в среднем не более 5% доходов бюджетов штатов);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налог на доходы от продаж и капитальных активов;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налог штатов на деловую активность, определяемую размерами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капитала и оборотом.</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Последние два налога не имеют существенного финансового значения, а несут регулирующую нагрузку.</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Налогообложение собственности (имущества) в рассматриваемой системе носит в основном региональный характер, причем объектом налогообложения является имущество юридических лиц: личное имущество населения для целей собственного потребления налогом не облагается. Федеральный налог (по ставке до 50% стоимости) применяется только в отношении имущества, переходящего в порядке наследования и дарения.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Важной характерной чертой системы налогообложения США является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незначительная роль, которую играют в ней акцизы: федеральными акцизными сборами облагается ограниченное количество видов товаров и услуг, а ставка налога с продаж по отдельным штатам колеблется от 0 до 8%.</w:t>
      </w: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Pr="00053C34" w:rsidRDefault="00C7465B" w:rsidP="00C7465B">
      <w:pPr>
        <w:pStyle w:val="HTML"/>
        <w:rPr>
          <w:rFonts w:ascii="Times New Roman" w:hAnsi="Times New Roman" w:cs="Times New Roman"/>
          <w:sz w:val="24"/>
          <w:szCs w:val="24"/>
        </w:rPr>
      </w:pPr>
    </w:p>
    <w:p w:rsidR="00C7465B" w:rsidRPr="00C7465B" w:rsidRDefault="00C7465B" w:rsidP="00C7465B">
      <w:pPr>
        <w:pStyle w:val="HTML"/>
        <w:jc w:val="center"/>
        <w:rPr>
          <w:rFonts w:ascii="Times New Roman" w:hAnsi="Times New Roman" w:cs="Times New Roman"/>
          <w:b/>
          <w:sz w:val="32"/>
          <w:szCs w:val="32"/>
        </w:rPr>
      </w:pPr>
      <w:r w:rsidRPr="00C7465B">
        <w:rPr>
          <w:rFonts w:ascii="Times New Roman" w:hAnsi="Times New Roman" w:cs="Times New Roman"/>
          <w:b/>
          <w:sz w:val="32"/>
          <w:szCs w:val="32"/>
        </w:rPr>
        <w:t>Налоговая система Германии</w:t>
      </w:r>
    </w:p>
    <w:p w:rsidR="00C7465B" w:rsidRPr="00C7465B" w:rsidRDefault="00C7465B" w:rsidP="00C7465B">
      <w:pPr>
        <w:pStyle w:val="HTML"/>
        <w:ind w:firstLine="709"/>
        <w:jc w:val="center"/>
        <w:rPr>
          <w:rFonts w:ascii="Times New Roman" w:hAnsi="Times New Roman" w:cs="Times New Roman"/>
          <w:sz w:val="24"/>
          <w:szCs w:val="24"/>
        </w:rPr>
      </w:pP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Налоговая система Германии существенно отличается от североамериканских систем, которые определяются традиционной ориентацией на масштабное государственное регулирование.</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Экономическая (стимулирующая) функция данной системы налогообложения проявляется следующим образом.</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Инвестиционный потенциал системы налогообложения Германии предполагает наряду с использованием норм ускоренной амортизации льготное налогообложение той части прибыли хозяйствующих субъектов, которая выделяется на формирование резервов, основным назначением которых является обеспечение перспективного развития хозяйствующих субъектов. Размеры этих резервов практически не ограничиваются и рассматриваются как источники инвестиций не только для данного предприятия, но и, учитывая их временное перераспределение через финансовый (фондовый и кредитный) рынок, для других предприятий.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Региональный потенциал данной налоговой системы также проявляется более значимо, чем в США и Канаде, так как включает следующие механизмы:</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избирательное региональное налоговое стимулирование инвестиций, например в экономику восточных земель;</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субсидии в виде общих федеральных налоговых льгот, предоставляемых региональным бюджетам;</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горизонтальное выравнивание бюджетных доходов, обеспечивающее прямое без задействования федерального центра перераспределение налоговых доходов развитых в экономическом отношении земель в пользу более слабых.</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Отраслевой потенциал анализируемой системы налогообложения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используется примерно так же, как по соответствующим системам Канады и США, и ограничивается льготным налогообложением и предоставлением субсидий и дотаций предприятиям в основном сельского и лесного хозяйства.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Конкурентный потенциал налоговой системы Германии следует оценить как более высокий, чем североамериканский, поскольку он включает такие принципиальные составляющие, как:</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прогрессивное налогообложение доходов хозяйствующих субъектов, причем более строгое, чем в США;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жесткую систему налогообложения сверхприбылей;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систему налоговых санкций за недобросовестную ценовую конкуренцию (ценовой сговор), что представляется весьма важным для формирования условий конкурентного равенства.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Реализация фискальной функции налоговой системы Германии также имеет существенную специфику, главной чертой которой является примерно одинаковое и весьма значительное налоговое бремя, которое несут физические и юридические лица.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Подоходный налог с физических лиц, обеспечивая около 30% налоговых доходов федерального бюджета, имеет прогрессивный характер. Его максимальная ставка составляет более 50% доходов физических лиц. Методика расчета этого налога также сложна, как и, например, в США, но количество предусмотренных налоговых льгот и вычетов из налогооблагаемой базы меньше.</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Кроме подоходного налога, граждане Германии делают социальные отчисления в размере около 7% начислений заработной платы (половина общего объема).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Налогообложение доходов юридических лиц включает следующие основные виды налогов: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налог на прибыль, предельная и широко распространенная ставка которого составляет 50%;</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социальные выплаты, которые наниматель производит работающим гражданам;</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промысловый налог, которым облагаются определенные виды деятельности (в том числе торговля), базой для исчисления которого являются одновременно прибыль и стоимость основных фондов предприятия (распространенные ставки составляют 5% прибыли и 0,2% стоимости основных фондов).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В целом налоги на доходы юридических лиц обеспечивают примерно 15% налоговых бюджетных поступлений.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Налогообложение собственности (имущества) в Германии характеризуется тем, что оно относительно невелико в отношении населения (около 1% стоимости имущества) и весьма существенно для хозяйствующих субъектов, которые уплачивают помимо уже упоминавшегося комплексного промыслового налога налог на имущество (0,6% стоимости) и земельный налог (1,2% кадастровой стоимости участка).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В отличие от США и Канады значительную роль в налоговой системе Германии играет акцизное налогообложение, где ведущее место занимает НДС, являющийся главным источником доходов федерального бюджета, обеспечивая их почти на 30%, несмотря на довольно развитую систему понижения ставок, освобождений и других льгот. Кроме того, широко применяются акцизы на отдельные виды товаров и услуг, перечень которых достаточно широк и для которых характерно то, что в отличие от США и Канады, они являются федеральными не только с точки зрения их утверждения, но и как источник формирования финансовых ресурсов на этом уровне.</w:t>
      </w: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Default="00C7465B" w:rsidP="00C7465B">
      <w:pPr>
        <w:pStyle w:val="HTML"/>
        <w:ind w:firstLine="709"/>
        <w:jc w:val="center"/>
        <w:rPr>
          <w:rFonts w:ascii="Times New Roman" w:hAnsi="Times New Roman" w:cs="Times New Roman"/>
          <w:sz w:val="24"/>
          <w:szCs w:val="24"/>
          <w:lang w:val="en-US"/>
        </w:rPr>
      </w:pPr>
    </w:p>
    <w:p w:rsidR="00C7465B" w:rsidRPr="00C7465B" w:rsidRDefault="00C7465B" w:rsidP="00C7465B">
      <w:pPr>
        <w:pStyle w:val="HTML"/>
        <w:ind w:firstLine="709"/>
        <w:jc w:val="center"/>
        <w:rPr>
          <w:rFonts w:ascii="Times New Roman" w:hAnsi="Times New Roman" w:cs="Times New Roman"/>
          <w:sz w:val="24"/>
          <w:szCs w:val="24"/>
          <w:lang w:val="en-US"/>
        </w:rPr>
      </w:pPr>
    </w:p>
    <w:p w:rsidR="00C7465B" w:rsidRPr="00C7465B" w:rsidRDefault="00C7465B" w:rsidP="00C7465B">
      <w:pPr>
        <w:pStyle w:val="HTML"/>
        <w:jc w:val="center"/>
        <w:rPr>
          <w:rFonts w:ascii="Times New Roman" w:hAnsi="Times New Roman" w:cs="Times New Roman"/>
          <w:b/>
          <w:sz w:val="32"/>
          <w:szCs w:val="32"/>
        </w:rPr>
      </w:pPr>
      <w:r w:rsidRPr="00C7465B">
        <w:rPr>
          <w:rFonts w:ascii="Times New Roman" w:hAnsi="Times New Roman" w:cs="Times New Roman"/>
          <w:b/>
          <w:sz w:val="32"/>
          <w:szCs w:val="32"/>
        </w:rPr>
        <w:t>Налоговая система Франции</w:t>
      </w:r>
    </w:p>
    <w:p w:rsidR="00C7465B" w:rsidRPr="00C7465B" w:rsidRDefault="00C7465B" w:rsidP="00C7465B">
      <w:pPr>
        <w:pStyle w:val="HTML"/>
        <w:ind w:firstLine="709"/>
        <w:jc w:val="center"/>
        <w:rPr>
          <w:rFonts w:ascii="Times New Roman" w:hAnsi="Times New Roman" w:cs="Times New Roman"/>
          <w:sz w:val="24"/>
          <w:szCs w:val="24"/>
        </w:rPr>
      </w:pP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Налоговая система Франции имеет много общего с российской налоговой системой несмотря на то, что это государство не является ни законодательно, ни фактически федеративным и с точки зрения организации государственных финансов представляет собой жестко централизованную систему, построенную на государственном и местном уровнях.</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Налоговая система Франции представляет собой в рамках реализации экономической (регулирующей) функции точное отражение ее государственного устройства и основана не столько на использовании механизмов экономического регулирования, сколько на централизованном перераспределении фискальных ресурсов.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Инвестиционный потенциал системы налогообложения Франции предусматривает возможность использования таких рычагов стимулирования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инвестиций, как ускоренную амортизацию и вычеты из налогооблагаемой прибыли в размере 10% прироста инвестиций в развитие производства и 50% прироста инвестиций в научные исследования, что не позволяет оценить его достаточно высоко.</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Отраслевой потенциал анализируемой системы также весьма невелик, поскольку ею предусмотрены только льготы по НДС для поощрения таких социально важных отраслей экономики, как производство продуктов питания, медикаментов, строительство жилья, общественный транспорт.</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Региональный потенциал французской системы налогообложения также невысок в силу, во-первых, отмеченных выше особенностей государственного устройства этой страны и, во-вторых, потому, что соответствующие регуляторы регионального развития в ней фактически не представлены. Заметная тенденция роста доли местных бюджетов в консолидированном бюджете Франции определяется не региональной направленностью налоговой системы, а усилением централизованного перераспределения налоговых доходов государственного уровня.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Конкурентный потенциал данной системы в целом аналогичен потенциалу Германии и определяется его сходной структурой.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Система налогообложения Франции отдает очевидное предпочтение фискальной функции, что находит свое отражение во всех анализируемых характеристиках.</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Подоходный налог с физических лиц во Франции обеспечивает около 18% доходов государственного бюджета, а его главной особенностью является то, что фискальную единицу представляет собой не отдельный гражданин, а семья.</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Кроме этого налога, население делает две разновидности социальных отчислений, которые незначительны по объемам:1,1% от профессиональных доходов и 1% от процентных доходов по вкладам в финансово-кредитных структурах.</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Существенно более весомым является налогообложение доходов юридических лиц (хозяйствующих субъектов), которые помимо прогрессивного налога на прибыль (ставка которого от 10 до 42%, а наиболее распространенный уровень – 34%) уплачивают налоги, исчисляемые от расходов на оплату труда [налог на профессиональное образование (0,6%), налог на долгосрочную профессиональную подготовку (1,5 – 2,3%) и налог на жилищное строительство (0,65%)], что в целом обеспечивает около 30% доходов государственного бюджета.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Налогообложение собственности (имущества) во Франции также ориентировано, главным образом, на юридических лиц и включает налог на имущество хозяйствующих субъектов, взимаемый по прогрессивной шкале (до 1,5% стоимости), налог на земельный участок, а также налог на автотранспорт и налог на жилье, который уплачивают и собственники жилья, и арендаторы. В целом этот вид налогообложения формирует менее 10% налоговых доходов государства.</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Главным источником государственных доходов во Франции являются акцизы и НДС, который обеспечивает более 40% налоговых бюджетных поступлений.</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Весьма сложное нормативное обеспечение этого налога включает четырехступенчатую шкалу налоговых ставок, дифференцированную по отдельным группам товаров и услуг, а также ряд налоговых освобождений. Методика определения налогооблагаемой базы довольно сложна, и трудно выбрать в определенных случаях между уплатой НДС и подоходного налога в сфере финансов, в банковском деле и некоторых других областях. Кроме того, во французской системе налогообложения применяются акцизы на отдельные товары и услуги, являющиеся одними из немногих видов налогов, платежи по которым зачисляются непосредственно в местные бюджеты.</w:t>
      </w: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Default="00C7465B" w:rsidP="00C7465B">
      <w:pPr>
        <w:pStyle w:val="HTML"/>
        <w:jc w:val="center"/>
        <w:rPr>
          <w:rFonts w:ascii="Times New Roman" w:hAnsi="Times New Roman" w:cs="Times New Roman"/>
          <w:sz w:val="24"/>
          <w:szCs w:val="24"/>
          <w:lang w:val="en-US"/>
        </w:rPr>
      </w:pPr>
    </w:p>
    <w:p w:rsidR="00C7465B" w:rsidRPr="00C7465B" w:rsidRDefault="00C7465B" w:rsidP="00C7465B">
      <w:pPr>
        <w:pStyle w:val="HTML"/>
        <w:jc w:val="center"/>
        <w:rPr>
          <w:rFonts w:ascii="Times New Roman" w:hAnsi="Times New Roman" w:cs="Times New Roman"/>
          <w:sz w:val="24"/>
          <w:szCs w:val="24"/>
          <w:lang w:val="en-US"/>
        </w:rPr>
      </w:pPr>
    </w:p>
    <w:p w:rsidR="00C7465B" w:rsidRPr="00C7465B" w:rsidRDefault="00C7465B" w:rsidP="00C7465B">
      <w:pPr>
        <w:pStyle w:val="HTML"/>
        <w:jc w:val="center"/>
        <w:rPr>
          <w:rFonts w:ascii="Times New Roman" w:hAnsi="Times New Roman" w:cs="Times New Roman"/>
          <w:b/>
          <w:sz w:val="32"/>
          <w:szCs w:val="32"/>
        </w:rPr>
      </w:pPr>
      <w:r w:rsidRPr="00C7465B">
        <w:rPr>
          <w:rFonts w:ascii="Times New Roman" w:hAnsi="Times New Roman" w:cs="Times New Roman"/>
          <w:b/>
          <w:sz w:val="32"/>
          <w:szCs w:val="32"/>
        </w:rPr>
        <w:t>Налоговая система Испании</w:t>
      </w:r>
    </w:p>
    <w:p w:rsidR="00C7465B" w:rsidRPr="00C7465B" w:rsidRDefault="00C7465B" w:rsidP="00C7465B">
      <w:pPr>
        <w:pStyle w:val="HTML"/>
        <w:jc w:val="center"/>
        <w:rPr>
          <w:rFonts w:ascii="Times New Roman" w:hAnsi="Times New Roman" w:cs="Times New Roman"/>
          <w:sz w:val="24"/>
          <w:szCs w:val="24"/>
        </w:rPr>
      </w:pP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Налоговая система Испании характеризуется следующим:</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1) схожесть с государственным устройством России (федеральный уровень – автономные территории и провинции – местный уровень);</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2) сопоставимость (в определенной степени) макроэкономических условий ее функционирования с российскими.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С точки зрения реализации экономической (регулирующей) функции, рассматриваемая налоговая система характеризуется следующими существенными особенностями.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Инвестиционный потенциал системы налогообложения Испании определяется предусмотренными в ней льготами за создание новых рабочих мест в виде фиксированной суммы, вычитаемой из общего объема рассчитанных в общем порядке налоговых платежей, а также поощрением инвестиций путем снижения на 5% ставки налога на прибыль. К этому следует добавить возможность применения норм ускоренной амортизации.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Региональный потенциал налоговой системы Испании следует признать достаточно высоким, поскольку она адекватно учитывает отмеченную выше специфику государственного устройства страны и обеспечивает возможность применения различных налоговых режимов для конкретных автономных территорий вплоть до права вводить собственные виды налогов и в определенных пределах регулировать размеры налоговых ставок (в первую очередь это относится к экономически слаборазвитым автономиям). Такой гибкий подход к региональному развитию налоговой системы позволяет на практике обеспечить выравнивание экономического уровня субъектов государства, не используя административно- централизованные инструменты перераспределения доходов.</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Отраслевой потенциал данной налоговой системы не представляется существенным, поскольку он ограничен отдельными льготами (например, в кинопроизводстве) и санкциями (например, в игорном бизнесе) в части налога на прибыль и, таким образом, не затрагивает регулирования развития базовых отраслей экономики.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Конкурентный потенциал системы налогообложения Испании практически не представлен сколько-нибудь существенными элементами.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Реализация фискальной функции налоговой системы Испании сосредоточена в основном на двух направлениях: налогообложение доходов физических лиц и акцизные налоги.</w:t>
      </w:r>
    </w:p>
    <w:p w:rsidR="00C7465B" w:rsidRPr="00C7465B" w:rsidRDefault="00C7465B" w:rsidP="00C7465B">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Население Испании обеспечивает около 40% государственных доходов через подоходный налог; причем в налогооблагаемую базу включаются не только заработная плата, доходы от предпринимательской и профессиональной деятельности и доходы от капитала, но и такие выплаты, как пособия по безработице и пенсии. При этом применяется прогрессивная шкала, имеющая 16 размеров ставки, а вычеты из налогооблагаемой базы весьма ограничены.</w:t>
      </w:r>
    </w:p>
    <w:p w:rsidR="00C7465B" w:rsidRPr="00C7465B" w:rsidRDefault="00C7465B" w:rsidP="00053C34">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Налогообложение юридических лиц в рамках данной системы позволяет сформировать около 8% государственных доходов за счет налога на прибыль, взимаемого по фиксированной ставке 35%, и налога на экономическую деятельность (аналог применяемого в Германии промыслового налога).</w:t>
      </w:r>
    </w:p>
    <w:p w:rsidR="00C7465B" w:rsidRPr="00053C34" w:rsidRDefault="00C7465B" w:rsidP="00053C34">
      <w:pPr>
        <w:pStyle w:val="HTML"/>
        <w:ind w:firstLine="709"/>
        <w:jc w:val="both"/>
        <w:rPr>
          <w:rFonts w:ascii="Times New Roman" w:hAnsi="Times New Roman" w:cs="Times New Roman"/>
          <w:sz w:val="24"/>
          <w:szCs w:val="24"/>
        </w:rPr>
      </w:pPr>
      <w:r w:rsidRPr="00C7465B">
        <w:rPr>
          <w:rFonts w:ascii="Times New Roman" w:hAnsi="Times New Roman" w:cs="Times New Roman"/>
          <w:sz w:val="24"/>
          <w:szCs w:val="24"/>
        </w:rPr>
        <w:t xml:space="preserve">Налоги на собственность в рассматриваемой системе в целом находятся на среднем </w:t>
      </w:r>
      <w:r w:rsidRPr="00053C34">
        <w:rPr>
          <w:rFonts w:ascii="Times New Roman" w:hAnsi="Times New Roman" w:cs="Times New Roman"/>
          <w:sz w:val="24"/>
          <w:szCs w:val="24"/>
        </w:rPr>
        <w:t>уровне, а их особенностью является применение налога на передачу имущества, в том числе в порядке продажи и аренды, и высокая ставка прогрессивного налога на имущество, переходящее в порядке дарения и наследования, - до 34% стоимости.</w:t>
      </w:r>
    </w:p>
    <w:p w:rsidR="00C7465B" w:rsidRPr="00053C34" w:rsidRDefault="00C7465B" w:rsidP="00053C34">
      <w:pPr>
        <w:pStyle w:val="HTML"/>
        <w:ind w:firstLine="709"/>
        <w:jc w:val="both"/>
        <w:rPr>
          <w:rFonts w:ascii="Times New Roman" w:hAnsi="Times New Roman" w:cs="Times New Roman"/>
          <w:sz w:val="24"/>
          <w:szCs w:val="24"/>
        </w:rPr>
      </w:pPr>
      <w:r w:rsidRPr="00053C34">
        <w:rPr>
          <w:rFonts w:ascii="Times New Roman" w:hAnsi="Times New Roman" w:cs="Times New Roman"/>
          <w:sz w:val="24"/>
          <w:szCs w:val="24"/>
        </w:rPr>
        <w:t>Высокое значение для формирования государственных бюджетных доходов в системе налогообложения Испании имеют акцизные налоги, при этом НДС составляет приблизительно 25% поступлений, а акцизы на отдельные виды товаров и услуг – более 13%</w:t>
      </w:r>
      <w:bookmarkStart w:id="0" w:name="_GoBack"/>
      <w:bookmarkEnd w:id="0"/>
    </w:p>
    <w:sectPr w:rsidR="00C7465B" w:rsidRPr="00053C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AAC" w:rsidRDefault="00921AAC">
      <w:r>
        <w:separator/>
      </w:r>
    </w:p>
  </w:endnote>
  <w:endnote w:type="continuationSeparator" w:id="0">
    <w:p w:rsidR="00921AAC" w:rsidRDefault="0092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AAC" w:rsidRDefault="00921AAC">
      <w:r>
        <w:separator/>
      </w:r>
    </w:p>
  </w:footnote>
  <w:footnote w:type="continuationSeparator" w:id="0">
    <w:p w:rsidR="00921AAC" w:rsidRDefault="00921AAC">
      <w:r>
        <w:continuationSeparator/>
      </w:r>
    </w:p>
  </w:footnote>
  <w:footnote w:id="1">
    <w:p w:rsidR="00C7465B" w:rsidRPr="00C7465B" w:rsidRDefault="00C7465B" w:rsidP="00C7465B">
      <w:pPr>
        <w:pStyle w:val="a4"/>
        <w:rPr>
          <w:lang w:val="en-US"/>
        </w:rPr>
      </w:pPr>
    </w:p>
  </w:footnote>
  <w:footnote w:id="2">
    <w:p w:rsidR="00C7465B" w:rsidRDefault="00C7465B" w:rsidP="00C7465B">
      <w:pPr>
        <w:pStyle w:val="a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06B1D"/>
    <w:multiLevelType w:val="hybridMultilevel"/>
    <w:tmpl w:val="1334FBEE"/>
    <w:lvl w:ilvl="0" w:tplc="CD3885EA">
      <w:start w:val="1"/>
      <w:numFmt w:val="bullet"/>
      <w:lvlText w:val=""/>
      <w:lvlJc w:val="left"/>
      <w:pPr>
        <w:tabs>
          <w:tab w:val="num" w:pos="1695"/>
        </w:tabs>
        <w:ind w:left="1695" w:hanging="360"/>
      </w:pPr>
      <w:rPr>
        <w:rFonts w:ascii="Symbol" w:hAnsi="Symbol" w:hint="default"/>
      </w:rPr>
    </w:lvl>
    <w:lvl w:ilvl="1" w:tplc="04190003">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
    <w:nsid w:val="10A24C82"/>
    <w:multiLevelType w:val="hybridMultilevel"/>
    <w:tmpl w:val="DB90A0E0"/>
    <w:lvl w:ilvl="0" w:tplc="CD3885EA">
      <w:start w:val="1"/>
      <w:numFmt w:val="bullet"/>
      <w:lvlText w:val=""/>
      <w:lvlJc w:val="left"/>
      <w:pPr>
        <w:tabs>
          <w:tab w:val="num" w:pos="2584"/>
        </w:tabs>
        <w:ind w:left="2584" w:hanging="360"/>
      </w:pPr>
      <w:rPr>
        <w:rFonts w:ascii="Symbol" w:hAnsi="Symbol" w:hint="default"/>
      </w:rPr>
    </w:lvl>
    <w:lvl w:ilvl="1" w:tplc="CD3885EA">
      <w:start w:val="1"/>
      <w:numFmt w:val="bullet"/>
      <w:lvlText w:val=""/>
      <w:lvlJc w:val="left"/>
      <w:pPr>
        <w:tabs>
          <w:tab w:val="num" w:pos="2404"/>
        </w:tabs>
        <w:ind w:left="2404" w:hanging="360"/>
      </w:pPr>
      <w:rPr>
        <w:rFonts w:ascii="Symbol" w:hAnsi="Symbol" w:hint="default"/>
      </w:rPr>
    </w:lvl>
    <w:lvl w:ilvl="2" w:tplc="04190005" w:tentative="1">
      <w:start w:val="1"/>
      <w:numFmt w:val="bullet"/>
      <w:lvlText w:val=""/>
      <w:lvlJc w:val="left"/>
      <w:pPr>
        <w:tabs>
          <w:tab w:val="num" w:pos="3124"/>
        </w:tabs>
        <w:ind w:left="3124" w:hanging="360"/>
      </w:pPr>
      <w:rPr>
        <w:rFonts w:ascii="Wingdings" w:hAnsi="Wingdings" w:hint="default"/>
      </w:rPr>
    </w:lvl>
    <w:lvl w:ilvl="3" w:tplc="04190001" w:tentative="1">
      <w:start w:val="1"/>
      <w:numFmt w:val="bullet"/>
      <w:lvlText w:val=""/>
      <w:lvlJc w:val="left"/>
      <w:pPr>
        <w:tabs>
          <w:tab w:val="num" w:pos="3844"/>
        </w:tabs>
        <w:ind w:left="3844" w:hanging="360"/>
      </w:pPr>
      <w:rPr>
        <w:rFonts w:ascii="Symbol" w:hAnsi="Symbol" w:hint="default"/>
      </w:rPr>
    </w:lvl>
    <w:lvl w:ilvl="4" w:tplc="04190003" w:tentative="1">
      <w:start w:val="1"/>
      <w:numFmt w:val="bullet"/>
      <w:lvlText w:val="o"/>
      <w:lvlJc w:val="left"/>
      <w:pPr>
        <w:tabs>
          <w:tab w:val="num" w:pos="4564"/>
        </w:tabs>
        <w:ind w:left="4564" w:hanging="360"/>
      </w:pPr>
      <w:rPr>
        <w:rFonts w:ascii="Courier New" w:hAnsi="Courier New" w:hint="default"/>
      </w:rPr>
    </w:lvl>
    <w:lvl w:ilvl="5" w:tplc="04190005" w:tentative="1">
      <w:start w:val="1"/>
      <w:numFmt w:val="bullet"/>
      <w:lvlText w:val=""/>
      <w:lvlJc w:val="left"/>
      <w:pPr>
        <w:tabs>
          <w:tab w:val="num" w:pos="5284"/>
        </w:tabs>
        <w:ind w:left="5284" w:hanging="360"/>
      </w:pPr>
      <w:rPr>
        <w:rFonts w:ascii="Wingdings" w:hAnsi="Wingdings" w:hint="default"/>
      </w:rPr>
    </w:lvl>
    <w:lvl w:ilvl="6" w:tplc="04190001" w:tentative="1">
      <w:start w:val="1"/>
      <w:numFmt w:val="bullet"/>
      <w:lvlText w:val=""/>
      <w:lvlJc w:val="left"/>
      <w:pPr>
        <w:tabs>
          <w:tab w:val="num" w:pos="6004"/>
        </w:tabs>
        <w:ind w:left="6004" w:hanging="360"/>
      </w:pPr>
      <w:rPr>
        <w:rFonts w:ascii="Symbol" w:hAnsi="Symbol" w:hint="default"/>
      </w:rPr>
    </w:lvl>
    <w:lvl w:ilvl="7" w:tplc="04190003" w:tentative="1">
      <w:start w:val="1"/>
      <w:numFmt w:val="bullet"/>
      <w:lvlText w:val="o"/>
      <w:lvlJc w:val="left"/>
      <w:pPr>
        <w:tabs>
          <w:tab w:val="num" w:pos="6724"/>
        </w:tabs>
        <w:ind w:left="6724" w:hanging="360"/>
      </w:pPr>
      <w:rPr>
        <w:rFonts w:ascii="Courier New" w:hAnsi="Courier New" w:hint="default"/>
      </w:rPr>
    </w:lvl>
    <w:lvl w:ilvl="8" w:tplc="04190005" w:tentative="1">
      <w:start w:val="1"/>
      <w:numFmt w:val="bullet"/>
      <w:lvlText w:val=""/>
      <w:lvlJc w:val="left"/>
      <w:pPr>
        <w:tabs>
          <w:tab w:val="num" w:pos="7444"/>
        </w:tabs>
        <w:ind w:left="7444" w:hanging="360"/>
      </w:pPr>
      <w:rPr>
        <w:rFonts w:ascii="Wingdings" w:hAnsi="Wingdings" w:hint="default"/>
      </w:rPr>
    </w:lvl>
  </w:abstractNum>
  <w:abstractNum w:abstractNumId="2">
    <w:nsid w:val="149B206A"/>
    <w:multiLevelType w:val="hybridMultilevel"/>
    <w:tmpl w:val="52E2FF3C"/>
    <w:lvl w:ilvl="0" w:tplc="CD3885EA">
      <w:start w:val="1"/>
      <w:numFmt w:val="bullet"/>
      <w:lvlText w:val=""/>
      <w:lvlJc w:val="left"/>
      <w:pPr>
        <w:tabs>
          <w:tab w:val="num" w:pos="2520"/>
        </w:tabs>
        <w:ind w:left="2520" w:hanging="360"/>
      </w:pPr>
      <w:rPr>
        <w:rFonts w:ascii="Symbol" w:hAnsi="Symbol" w:hint="default"/>
      </w:rPr>
    </w:lvl>
    <w:lvl w:ilvl="1" w:tplc="CD3885EA">
      <w:start w:val="1"/>
      <w:numFmt w:val="bullet"/>
      <w:lvlText w:val=""/>
      <w:lvlJc w:val="left"/>
      <w:pPr>
        <w:tabs>
          <w:tab w:val="num" w:pos="2342"/>
        </w:tabs>
        <w:ind w:left="2342" w:hanging="360"/>
      </w:pPr>
      <w:rPr>
        <w:rFonts w:ascii="Symbol" w:hAnsi="Symbol"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
    <w:nsid w:val="15C85B63"/>
    <w:multiLevelType w:val="hybridMultilevel"/>
    <w:tmpl w:val="5F28D7A4"/>
    <w:lvl w:ilvl="0" w:tplc="CD3885EA">
      <w:start w:val="1"/>
      <w:numFmt w:val="bullet"/>
      <w:lvlText w:val=""/>
      <w:lvlJc w:val="left"/>
      <w:pPr>
        <w:tabs>
          <w:tab w:val="num" w:pos="1695"/>
        </w:tabs>
        <w:ind w:left="16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nsid w:val="1BCB648A"/>
    <w:multiLevelType w:val="hybridMultilevel"/>
    <w:tmpl w:val="A37A1C60"/>
    <w:lvl w:ilvl="0" w:tplc="CD3885EA">
      <w:start w:val="1"/>
      <w:numFmt w:val="bullet"/>
      <w:lvlText w:val=""/>
      <w:lvlJc w:val="left"/>
      <w:pPr>
        <w:tabs>
          <w:tab w:val="num" w:pos="2520"/>
        </w:tabs>
        <w:ind w:left="2520" w:hanging="360"/>
      </w:pPr>
      <w:rPr>
        <w:rFonts w:ascii="Symbol" w:hAnsi="Symbol" w:hint="default"/>
      </w:rPr>
    </w:lvl>
    <w:lvl w:ilvl="1" w:tplc="CD3885EA">
      <w:start w:val="1"/>
      <w:numFmt w:val="bullet"/>
      <w:lvlText w:val=""/>
      <w:lvlJc w:val="left"/>
      <w:pPr>
        <w:tabs>
          <w:tab w:val="num" w:pos="2342"/>
        </w:tabs>
        <w:ind w:left="2342" w:hanging="360"/>
      </w:pPr>
      <w:rPr>
        <w:rFonts w:ascii="Symbol" w:hAnsi="Symbol"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nsid w:val="1DFD2D90"/>
    <w:multiLevelType w:val="hybridMultilevel"/>
    <w:tmpl w:val="670A7694"/>
    <w:lvl w:ilvl="0" w:tplc="CD3885EA">
      <w:start w:val="1"/>
      <w:numFmt w:val="bullet"/>
      <w:lvlText w:val=""/>
      <w:lvlJc w:val="left"/>
      <w:pPr>
        <w:tabs>
          <w:tab w:val="num" w:pos="2584"/>
        </w:tabs>
        <w:ind w:left="2584" w:hanging="360"/>
      </w:pPr>
      <w:rPr>
        <w:rFonts w:ascii="Symbol" w:hAnsi="Symbol" w:hint="default"/>
      </w:rPr>
    </w:lvl>
    <w:lvl w:ilvl="1" w:tplc="CD3885EA">
      <w:start w:val="1"/>
      <w:numFmt w:val="bullet"/>
      <w:lvlText w:val=""/>
      <w:lvlJc w:val="left"/>
      <w:pPr>
        <w:tabs>
          <w:tab w:val="num" w:pos="2404"/>
        </w:tabs>
        <w:ind w:left="2404" w:hanging="360"/>
      </w:pPr>
      <w:rPr>
        <w:rFonts w:ascii="Symbol" w:hAnsi="Symbol" w:hint="default"/>
      </w:rPr>
    </w:lvl>
    <w:lvl w:ilvl="2" w:tplc="04190005" w:tentative="1">
      <w:start w:val="1"/>
      <w:numFmt w:val="bullet"/>
      <w:lvlText w:val=""/>
      <w:lvlJc w:val="left"/>
      <w:pPr>
        <w:tabs>
          <w:tab w:val="num" w:pos="3124"/>
        </w:tabs>
        <w:ind w:left="3124" w:hanging="360"/>
      </w:pPr>
      <w:rPr>
        <w:rFonts w:ascii="Wingdings" w:hAnsi="Wingdings" w:hint="default"/>
      </w:rPr>
    </w:lvl>
    <w:lvl w:ilvl="3" w:tplc="04190001" w:tentative="1">
      <w:start w:val="1"/>
      <w:numFmt w:val="bullet"/>
      <w:lvlText w:val=""/>
      <w:lvlJc w:val="left"/>
      <w:pPr>
        <w:tabs>
          <w:tab w:val="num" w:pos="3844"/>
        </w:tabs>
        <w:ind w:left="3844" w:hanging="360"/>
      </w:pPr>
      <w:rPr>
        <w:rFonts w:ascii="Symbol" w:hAnsi="Symbol" w:hint="default"/>
      </w:rPr>
    </w:lvl>
    <w:lvl w:ilvl="4" w:tplc="04190003" w:tentative="1">
      <w:start w:val="1"/>
      <w:numFmt w:val="bullet"/>
      <w:lvlText w:val="o"/>
      <w:lvlJc w:val="left"/>
      <w:pPr>
        <w:tabs>
          <w:tab w:val="num" w:pos="4564"/>
        </w:tabs>
        <w:ind w:left="4564" w:hanging="360"/>
      </w:pPr>
      <w:rPr>
        <w:rFonts w:ascii="Courier New" w:hAnsi="Courier New" w:hint="default"/>
      </w:rPr>
    </w:lvl>
    <w:lvl w:ilvl="5" w:tplc="04190005" w:tentative="1">
      <w:start w:val="1"/>
      <w:numFmt w:val="bullet"/>
      <w:lvlText w:val=""/>
      <w:lvlJc w:val="left"/>
      <w:pPr>
        <w:tabs>
          <w:tab w:val="num" w:pos="5284"/>
        </w:tabs>
        <w:ind w:left="5284" w:hanging="360"/>
      </w:pPr>
      <w:rPr>
        <w:rFonts w:ascii="Wingdings" w:hAnsi="Wingdings" w:hint="default"/>
      </w:rPr>
    </w:lvl>
    <w:lvl w:ilvl="6" w:tplc="04190001" w:tentative="1">
      <w:start w:val="1"/>
      <w:numFmt w:val="bullet"/>
      <w:lvlText w:val=""/>
      <w:lvlJc w:val="left"/>
      <w:pPr>
        <w:tabs>
          <w:tab w:val="num" w:pos="6004"/>
        </w:tabs>
        <w:ind w:left="6004" w:hanging="360"/>
      </w:pPr>
      <w:rPr>
        <w:rFonts w:ascii="Symbol" w:hAnsi="Symbol" w:hint="default"/>
      </w:rPr>
    </w:lvl>
    <w:lvl w:ilvl="7" w:tplc="04190003" w:tentative="1">
      <w:start w:val="1"/>
      <w:numFmt w:val="bullet"/>
      <w:lvlText w:val="o"/>
      <w:lvlJc w:val="left"/>
      <w:pPr>
        <w:tabs>
          <w:tab w:val="num" w:pos="6724"/>
        </w:tabs>
        <w:ind w:left="6724" w:hanging="360"/>
      </w:pPr>
      <w:rPr>
        <w:rFonts w:ascii="Courier New" w:hAnsi="Courier New" w:hint="default"/>
      </w:rPr>
    </w:lvl>
    <w:lvl w:ilvl="8" w:tplc="04190005" w:tentative="1">
      <w:start w:val="1"/>
      <w:numFmt w:val="bullet"/>
      <w:lvlText w:val=""/>
      <w:lvlJc w:val="left"/>
      <w:pPr>
        <w:tabs>
          <w:tab w:val="num" w:pos="7444"/>
        </w:tabs>
        <w:ind w:left="7444" w:hanging="360"/>
      </w:pPr>
      <w:rPr>
        <w:rFonts w:ascii="Wingdings" w:hAnsi="Wingdings" w:hint="default"/>
      </w:rPr>
    </w:lvl>
  </w:abstractNum>
  <w:abstractNum w:abstractNumId="6">
    <w:nsid w:val="31594FB3"/>
    <w:multiLevelType w:val="hybridMultilevel"/>
    <w:tmpl w:val="3F368100"/>
    <w:lvl w:ilvl="0" w:tplc="B860C87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35CE4C3A"/>
    <w:multiLevelType w:val="hybridMultilevel"/>
    <w:tmpl w:val="2940E58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427E0CFF"/>
    <w:multiLevelType w:val="hybridMultilevel"/>
    <w:tmpl w:val="8AA43C3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9">
    <w:nsid w:val="4A9569A6"/>
    <w:multiLevelType w:val="hybridMultilevel"/>
    <w:tmpl w:val="BCA21F7A"/>
    <w:lvl w:ilvl="0" w:tplc="CD3885EA">
      <w:start w:val="1"/>
      <w:numFmt w:val="bullet"/>
      <w:lvlText w:val=""/>
      <w:lvlJc w:val="left"/>
      <w:pPr>
        <w:tabs>
          <w:tab w:val="num" w:pos="2520"/>
        </w:tabs>
        <w:ind w:left="2520" w:hanging="360"/>
      </w:pPr>
      <w:rPr>
        <w:rFonts w:ascii="Symbol" w:hAnsi="Symbol" w:hint="default"/>
      </w:rPr>
    </w:lvl>
    <w:lvl w:ilvl="1" w:tplc="CD3885EA">
      <w:start w:val="1"/>
      <w:numFmt w:val="bullet"/>
      <w:lvlText w:val=""/>
      <w:lvlJc w:val="left"/>
      <w:pPr>
        <w:tabs>
          <w:tab w:val="num" w:pos="2062"/>
        </w:tabs>
        <w:ind w:left="2062" w:hanging="360"/>
      </w:pPr>
      <w:rPr>
        <w:rFonts w:ascii="Symbol" w:hAnsi="Symbol"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
    <w:nsid w:val="4C1C1419"/>
    <w:multiLevelType w:val="hybridMultilevel"/>
    <w:tmpl w:val="8A5ECAC8"/>
    <w:lvl w:ilvl="0" w:tplc="CD3885EA">
      <w:start w:val="1"/>
      <w:numFmt w:val="bullet"/>
      <w:lvlText w:val=""/>
      <w:lvlJc w:val="left"/>
      <w:pPr>
        <w:tabs>
          <w:tab w:val="num" w:pos="2522"/>
        </w:tabs>
        <w:ind w:left="2522" w:hanging="360"/>
      </w:pPr>
      <w:rPr>
        <w:rFonts w:ascii="Symbol" w:hAnsi="Symbol" w:hint="default"/>
      </w:rPr>
    </w:lvl>
    <w:lvl w:ilvl="1" w:tplc="CD3885EA">
      <w:start w:val="1"/>
      <w:numFmt w:val="bullet"/>
      <w:lvlText w:val=""/>
      <w:lvlJc w:val="left"/>
      <w:pPr>
        <w:tabs>
          <w:tab w:val="num" w:pos="2342"/>
        </w:tabs>
        <w:ind w:left="2342" w:hanging="360"/>
      </w:pPr>
      <w:rPr>
        <w:rFonts w:ascii="Symbol" w:hAnsi="Symbol" w:hint="default"/>
      </w:rPr>
    </w:lvl>
    <w:lvl w:ilvl="2" w:tplc="04190005" w:tentative="1">
      <w:start w:val="1"/>
      <w:numFmt w:val="bullet"/>
      <w:lvlText w:val=""/>
      <w:lvlJc w:val="left"/>
      <w:pPr>
        <w:tabs>
          <w:tab w:val="num" w:pos="3062"/>
        </w:tabs>
        <w:ind w:left="3062" w:hanging="360"/>
      </w:pPr>
      <w:rPr>
        <w:rFonts w:ascii="Wingdings" w:hAnsi="Wingdings" w:hint="default"/>
      </w:rPr>
    </w:lvl>
    <w:lvl w:ilvl="3" w:tplc="04190001" w:tentative="1">
      <w:start w:val="1"/>
      <w:numFmt w:val="bullet"/>
      <w:lvlText w:val=""/>
      <w:lvlJc w:val="left"/>
      <w:pPr>
        <w:tabs>
          <w:tab w:val="num" w:pos="3782"/>
        </w:tabs>
        <w:ind w:left="3782" w:hanging="360"/>
      </w:pPr>
      <w:rPr>
        <w:rFonts w:ascii="Symbol" w:hAnsi="Symbol" w:hint="default"/>
      </w:rPr>
    </w:lvl>
    <w:lvl w:ilvl="4" w:tplc="04190003" w:tentative="1">
      <w:start w:val="1"/>
      <w:numFmt w:val="bullet"/>
      <w:lvlText w:val="o"/>
      <w:lvlJc w:val="left"/>
      <w:pPr>
        <w:tabs>
          <w:tab w:val="num" w:pos="4502"/>
        </w:tabs>
        <w:ind w:left="4502" w:hanging="360"/>
      </w:pPr>
      <w:rPr>
        <w:rFonts w:ascii="Courier New" w:hAnsi="Courier New" w:hint="default"/>
      </w:rPr>
    </w:lvl>
    <w:lvl w:ilvl="5" w:tplc="04190005" w:tentative="1">
      <w:start w:val="1"/>
      <w:numFmt w:val="bullet"/>
      <w:lvlText w:val=""/>
      <w:lvlJc w:val="left"/>
      <w:pPr>
        <w:tabs>
          <w:tab w:val="num" w:pos="5222"/>
        </w:tabs>
        <w:ind w:left="5222" w:hanging="360"/>
      </w:pPr>
      <w:rPr>
        <w:rFonts w:ascii="Wingdings" w:hAnsi="Wingdings" w:hint="default"/>
      </w:rPr>
    </w:lvl>
    <w:lvl w:ilvl="6" w:tplc="04190001" w:tentative="1">
      <w:start w:val="1"/>
      <w:numFmt w:val="bullet"/>
      <w:lvlText w:val=""/>
      <w:lvlJc w:val="left"/>
      <w:pPr>
        <w:tabs>
          <w:tab w:val="num" w:pos="5942"/>
        </w:tabs>
        <w:ind w:left="5942" w:hanging="360"/>
      </w:pPr>
      <w:rPr>
        <w:rFonts w:ascii="Symbol" w:hAnsi="Symbol" w:hint="default"/>
      </w:rPr>
    </w:lvl>
    <w:lvl w:ilvl="7" w:tplc="04190003" w:tentative="1">
      <w:start w:val="1"/>
      <w:numFmt w:val="bullet"/>
      <w:lvlText w:val="o"/>
      <w:lvlJc w:val="left"/>
      <w:pPr>
        <w:tabs>
          <w:tab w:val="num" w:pos="6662"/>
        </w:tabs>
        <w:ind w:left="6662" w:hanging="360"/>
      </w:pPr>
      <w:rPr>
        <w:rFonts w:ascii="Courier New" w:hAnsi="Courier New" w:hint="default"/>
      </w:rPr>
    </w:lvl>
    <w:lvl w:ilvl="8" w:tplc="04190005" w:tentative="1">
      <w:start w:val="1"/>
      <w:numFmt w:val="bullet"/>
      <w:lvlText w:val=""/>
      <w:lvlJc w:val="left"/>
      <w:pPr>
        <w:tabs>
          <w:tab w:val="num" w:pos="7382"/>
        </w:tabs>
        <w:ind w:left="7382" w:hanging="360"/>
      </w:pPr>
      <w:rPr>
        <w:rFonts w:ascii="Wingdings" w:hAnsi="Wingdings" w:hint="default"/>
      </w:rPr>
    </w:lvl>
  </w:abstractNum>
  <w:abstractNum w:abstractNumId="11">
    <w:nsid w:val="53CC794A"/>
    <w:multiLevelType w:val="hybridMultilevel"/>
    <w:tmpl w:val="C37E6C04"/>
    <w:lvl w:ilvl="0" w:tplc="10200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EA15551"/>
    <w:multiLevelType w:val="hybridMultilevel"/>
    <w:tmpl w:val="7B1686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4"/>
  </w:num>
  <w:num w:numId="3">
    <w:abstractNumId w:val="3"/>
  </w:num>
  <w:num w:numId="4">
    <w:abstractNumId w:val="0"/>
  </w:num>
  <w:num w:numId="5">
    <w:abstractNumId w:val="10"/>
  </w:num>
  <w:num w:numId="6">
    <w:abstractNumId w:val="9"/>
  </w:num>
  <w:num w:numId="7">
    <w:abstractNumId w:val="12"/>
  </w:num>
  <w:num w:numId="8">
    <w:abstractNumId w:val="5"/>
  </w:num>
  <w:num w:numId="9">
    <w:abstractNumId w:val="1"/>
  </w:num>
  <w:num w:numId="10">
    <w:abstractNumId w:val="11"/>
  </w:num>
  <w:num w:numId="11">
    <w:abstractNumId w:val="6"/>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65B"/>
    <w:rsid w:val="00053C34"/>
    <w:rsid w:val="002A448F"/>
    <w:rsid w:val="00592E9B"/>
    <w:rsid w:val="00921AAC"/>
    <w:rsid w:val="00BC5E21"/>
    <w:rsid w:val="00C7465B"/>
    <w:rsid w:val="00E74105"/>
    <w:rsid w:val="00F91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233574F-1347-4C78-8793-3522D48EF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465B"/>
    <w:pPr>
      <w:widowControl w:val="0"/>
      <w:spacing w:before="100" w:after="10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semiHidden/>
    <w:rsid w:val="00C7465B"/>
    <w:pPr>
      <w:widowControl w:val="0"/>
      <w:spacing w:before="100" w:after="100"/>
    </w:pPr>
    <w:rPr>
      <w:sz w:val="20"/>
      <w:szCs w:val="20"/>
    </w:rPr>
  </w:style>
  <w:style w:type="character" w:styleId="a5">
    <w:name w:val="footnote reference"/>
    <w:basedOn w:val="a0"/>
    <w:semiHidden/>
    <w:rsid w:val="00C7465B"/>
    <w:rPr>
      <w:rFonts w:cs="Times New Roman"/>
      <w:vertAlign w:val="superscript"/>
    </w:rPr>
  </w:style>
  <w:style w:type="paragraph" w:styleId="HTML">
    <w:name w:val="HTML Preformatted"/>
    <w:basedOn w:val="a"/>
    <w:rsid w:val="00C746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4720</Words>
  <Characters>26909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Налог на недвижимость в Украине</vt:lpstr>
    </vt:vector>
  </TitlesOfParts>
  <Company>MoBIL GROUP</Company>
  <LinksUpToDate>false</LinksUpToDate>
  <CharactersWithSpaces>31566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 на недвижимость в Украине</dc:title>
  <dc:subject/>
  <dc:creator>Admin</dc:creator>
  <cp:keywords/>
  <dc:description/>
  <cp:lastModifiedBy>Irina</cp:lastModifiedBy>
  <cp:revision>2</cp:revision>
  <dcterms:created xsi:type="dcterms:W3CDTF">2014-08-13T13:00:00Z</dcterms:created>
  <dcterms:modified xsi:type="dcterms:W3CDTF">2014-08-13T13:00:00Z</dcterms:modified>
</cp:coreProperties>
</file>