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387B" w:rsidRDefault="00ED40AF">
      <w:pPr>
        <w:pStyle w:val="1"/>
        <w:jc w:val="center"/>
      </w:pPr>
      <w:r>
        <w:t>Исследование человеческого потенциала в инновационной экономике Байкальского региона и Дальнего Востока Российской Федерации</w:t>
      </w:r>
    </w:p>
    <w:p w:rsidR="00EC387B" w:rsidRPr="00ED40AF" w:rsidRDefault="00ED40AF">
      <w:pPr>
        <w:pStyle w:val="a3"/>
      </w:pPr>
      <w:r>
        <w:t> </w:t>
      </w:r>
    </w:p>
    <w:p w:rsidR="00EC387B" w:rsidRDefault="00ED40AF">
      <w:pPr>
        <w:pStyle w:val="a3"/>
      </w:pPr>
      <w:r>
        <w:t>Н. В. Шобдоева - канд. экон. наук, доцент кафедры «Экономика и региональное управление»</w:t>
      </w:r>
    </w:p>
    <w:p w:rsidR="00EC387B" w:rsidRDefault="00ED40AF">
      <w:pPr>
        <w:pStyle w:val="a3"/>
      </w:pPr>
      <w:r>
        <w:t>Построение инновационной экономики, производящей высокотехнологическую продукцию, в значительной степени зависит от внешней среды, которая формируется под воздействием государства [3]. Вопросы повышения качества и конкурентоспособности производимой продукции являются ключевыми в процессе формирования и развития экономического потенциала отрасли [4]. На современном этапе развития и становления российской инновационной экономики требуются масштабные инновации, охватывающие все без исключения отрасли и носящие системный, регулярный характер, которые будут способствовать слиянию науки и производства.</w:t>
      </w:r>
    </w:p>
    <w:p w:rsidR="00EC387B" w:rsidRDefault="00ED40AF">
      <w:pPr>
        <w:pStyle w:val="a3"/>
      </w:pPr>
      <w:r>
        <w:t>На сегодняшний день существует разнообразие подходов в определении сущности инноваций, их видов, механизмов их функционирования. Например, инновации - первое практическое применение нового научнотехнического (технологического), организационно-экономического, производственного или иного решения, как принятие идеи или образа действий (системы, программы, устройства, процесса, продукта или услуги), которые оказываются новыми для принимающей организации [1].</w:t>
      </w:r>
    </w:p>
    <w:p w:rsidR="00EC387B" w:rsidRDefault="00ED40AF">
      <w:pPr>
        <w:pStyle w:val="a3"/>
      </w:pPr>
      <w:r>
        <w:t>Инновация, по словам великого австро-американского экономиста Йозефа Шумпетера (Joseph Schumpeter), - это «креативное разрушение». Организация должна быть создана для систематического отказа от всего, что утвердилось ранее, знакомо, привычно и удобно, касается ли это продуктов, услуг или процессов, набора навыков, человеческих и общественных отношений или собственно организации, организация должна быть создана для постоянных перемен. Функция организации - заставить знания работать над инструментами, продуктами и процессами, над проектированием работы; над знаниями как таковыми. Природа знания заключается в том, что оно быстро меняется, и почти всегда то, что сегодня является несомненным, завтра становится абсурдом [2].</w:t>
      </w:r>
    </w:p>
    <w:p w:rsidR="00EC387B" w:rsidRDefault="00ED40AF">
      <w:pPr>
        <w:pStyle w:val="a3"/>
      </w:pPr>
      <w:r>
        <w:t>При этом на первое место в инновационной экономике выходят не количественные, а качественные характеристики населения: интеллектуальные и профессиональные способности, физическое и психическое здоровье, нравственные устои.</w:t>
      </w:r>
    </w:p>
    <w:p w:rsidR="00EC387B" w:rsidRDefault="00ED40AF">
      <w:pPr>
        <w:pStyle w:val="a3"/>
      </w:pPr>
      <w:r>
        <w:t>В современной экономической теории трудоспособное население рассматривается как человеческий потенциал либо как качественный человеческий капитал. Качественный человеческого капитала - это свойство человеческого капитала, заключающееся в способности воспринимать изменения в экономике или генерировать их, обеспечивающий устойчивый экономический рост факторной производительности и величины национального богатства [5].</w:t>
      </w:r>
    </w:p>
    <w:p w:rsidR="00EC387B" w:rsidRDefault="00ED40AF">
      <w:pPr>
        <w:pStyle w:val="a3"/>
      </w:pPr>
      <w:r>
        <w:t>В качестве интегральных индикаторов социального развития общества и состояния человеческих ресурсов применяют, в частности: индекс развития человеческого потенциала и некоторые другие.</w:t>
      </w:r>
    </w:p>
    <w:p w:rsidR="00EC387B" w:rsidRDefault="00ED40AF">
      <w:pPr>
        <w:pStyle w:val="a3"/>
      </w:pPr>
      <w:r>
        <w:t>ИРЧП вычисляется на основе трех показателей:</w:t>
      </w:r>
    </w:p>
    <w:p w:rsidR="00EC387B" w:rsidRDefault="00ED40AF">
      <w:pPr>
        <w:pStyle w:val="a3"/>
      </w:pPr>
      <w:r>
        <w:t>средней продолжительности предстоящей жизни младенца;</w:t>
      </w:r>
    </w:p>
    <w:p w:rsidR="00EC387B" w:rsidRDefault="00ED40AF">
      <w:pPr>
        <w:pStyle w:val="a3"/>
      </w:pPr>
      <w:r>
        <w:t>достигнутого уровня образования, измеряемого как комбинация индекса грамотности взрослого населения и индекса совокупной доли учащихся в начальных, средних и высших учебных заведениях относительно населения соответствующего возраста;</w:t>
      </w:r>
    </w:p>
    <w:p w:rsidR="00EC387B" w:rsidRDefault="00ED40AF">
      <w:pPr>
        <w:pStyle w:val="a3"/>
      </w:pPr>
      <w:r>
        <w:t>уровня жизни, измеряемого на основе реального ВВП на душу населения (в долл. США по ППС).</w:t>
      </w:r>
    </w:p>
    <w:p w:rsidR="00EC387B" w:rsidRDefault="00ED40AF">
      <w:pPr>
        <w:pStyle w:val="a3"/>
      </w:pPr>
      <w:r>
        <w:t>В целом, значение ИРЧП для объективной оценки уровня и качества человеческого капитала, основного производительного и социального фактора в современной экономике, носит относительный характер. Для расчетов ИРЧП используется слишком малое количество показателей. Кроме того, используемый показатель грамотности населения носит формальный характер и не достаточно объективен для оценки уровня и качества знаний экономически активного населения.</w:t>
      </w:r>
    </w:p>
    <w:p w:rsidR="00EC387B" w:rsidRDefault="00ED40AF">
      <w:pPr>
        <w:pStyle w:val="a3"/>
      </w:pPr>
      <w:r>
        <w:t>Анализируя регионы Дальневосточного ФО в рейтинге по человеческому потенциалу, лидирует Еврейская автономная область. Это лидерство обусловлено самым высоким показателем динамики жизнеспособности и условий жизни. На втором и третьем местах - Камчатский и Приморский края, причем если Камчатка лидирует при этом по условиям жизни, то Приморский край по всем показателям занимает среднюю позицию. Жизнеспособность населения оказалась самой высокой в Республике Саха, а вот Чукотка занимает по этому показателю последнее место в регионе. Очевидно, что здесь имеется связь не только с природными условиями, по этому показателю эти два региона почти равны (см. ниже), сколько с национальными особенностям якутского этноса, который лучше других народов Севера приспособлен к условиям жизни и позволяет титульному населению реально доминировать в Республике.</w:t>
      </w:r>
    </w:p>
    <w:p w:rsidR="00EC387B" w:rsidRDefault="00ED40AF">
      <w:pPr>
        <w:pStyle w:val="a3"/>
      </w:pPr>
      <w:r>
        <w:t>Таблица 1</w:t>
      </w:r>
    </w:p>
    <w:p w:rsidR="00EC387B" w:rsidRDefault="00ED40AF">
      <w:pPr>
        <w:pStyle w:val="a3"/>
      </w:pPr>
      <w:r>
        <w:t>Ранжирование регионов Дальневосточного ФО по критериям развития человеческого потенциала</w:t>
      </w:r>
    </w:p>
    <w:p w:rsidR="00EC387B" w:rsidRDefault="00ED40AF">
      <w:pPr>
        <w:pStyle w:val="a3"/>
      </w:pPr>
      <w: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"/>
        <w:gridCol w:w="480"/>
        <w:gridCol w:w="480"/>
        <w:gridCol w:w="480"/>
        <w:gridCol w:w="480"/>
      </w:tblGrid>
      <w:tr w:rsidR="00EC387B">
        <w:trPr>
          <w:trHeight w:val="705"/>
          <w:tblCellSpacing w:w="0" w:type="dxa"/>
        </w:trPr>
        <w:tc>
          <w:tcPr>
            <w:tcW w:w="0" w:type="auto"/>
            <w:vAlign w:val="center"/>
            <w:hideMark/>
          </w:tcPr>
          <w:p w:rsidR="00EC387B" w:rsidRPr="00ED40AF" w:rsidRDefault="00ED40AF">
            <w:pPr>
              <w:pStyle w:val="a3"/>
            </w:pPr>
            <w:r w:rsidRPr="00ED40AF">
              <w:t>Место</w:t>
            </w:r>
          </w:p>
          <w:p w:rsidR="00EC387B" w:rsidRPr="00ED40AF" w:rsidRDefault="00ED40AF">
            <w:pPr>
              <w:pStyle w:val="a3"/>
            </w:pPr>
            <w:r w:rsidRPr="00ED40AF">
              <w:t>в</w:t>
            </w:r>
          </w:p>
          <w:p w:rsidR="00EC387B" w:rsidRPr="00ED40AF" w:rsidRDefault="00ED40AF">
            <w:pPr>
              <w:pStyle w:val="a3"/>
            </w:pPr>
            <w:r w:rsidRPr="00ED40AF">
              <w:t>округе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Регионы</w:t>
            </w:r>
          </w:p>
        </w:tc>
        <w:tc>
          <w:tcPr>
            <w:tcW w:w="0" w:type="auto"/>
            <w:vAlign w:val="center"/>
            <w:hideMark/>
          </w:tcPr>
          <w:p w:rsidR="00EC387B" w:rsidRPr="00ED40AF" w:rsidRDefault="00ED40AF">
            <w:pPr>
              <w:pStyle w:val="a3"/>
            </w:pPr>
            <w:r w:rsidRPr="00ED40AF">
              <w:t>Жизнеспо</w:t>
            </w:r>
          </w:p>
          <w:p w:rsidR="00EC387B" w:rsidRPr="00ED40AF" w:rsidRDefault="00ED40AF">
            <w:pPr>
              <w:pStyle w:val="a3"/>
            </w:pPr>
            <w:r w:rsidRPr="00ED40AF">
              <w:t>собность</w:t>
            </w:r>
          </w:p>
          <w:p w:rsidR="00EC387B" w:rsidRPr="00ED40AF" w:rsidRDefault="00ED40AF">
            <w:pPr>
              <w:pStyle w:val="a3"/>
            </w:pPr>
            <w:r w:rsidRPr="00ED40AF">
              <w:t>населения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Экологические условия жизни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Динамика жизнеспособности и условий жизни</w:t>
            </w:r>
          </w:p>
        </w:tc>
      </w:tr>
      <w:tr w:rsidR="00EC387B">
        <w:trPr>
          <w:trHeight w:val="240"/>
          <w:tblCellSpacing w:w="0" w:type="dxa"/>
        </w:trPr>
        <w:tc>
          <w:tcPr>
            <w:tcW w:w="0" w:type="auto"/>
            <w:vAlign w:val="center"/>
            <w:hideMark/>
          </w:tcPr>
          <w:p w:rsidR="00EC387B" w:rsidRDefault="00ED40AF">
            <w:r>
              <w:t>1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Еврейская АО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7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5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1</w:t>
            </w:r>
          </w:p>
        </w:tc>
      </w:tr>
      <w:tr w:rsidR="00EC387B">
        <w:trPr>
          <w:trHeight w:val="240"/>
          <w:tblCellSpacing w:w="0" w:type="dxa"/>
        </w:trPr>
        <w:tc>
          <w:tcPr>
            <w:tcW w:w="0" w:type="auto"/>
            <w:vAlign w:val="center"/>
            <w:hideMark/>
          </w:tcPr>
          <w:p w:rsidR="00EC387B" w:rsidRDefault="00ED40AF">
            <w:r>
              <w:t>2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Камчатский край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3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1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9</w:t>
            </w:r>
          </w:p>
        </w:tc>
      </w:tr>
      <w:tr w:rsidR="00EC387B">
        <w:trPr>
          <w:trHeight w:val="240"/>
          <w:tblCellSpacing w:w="0" w:type="dxa"/>
        </w:trPr>
        <w:tc>
          <w:tcPr>
            <w:tcW w:w="0" w:type="auto"/>
            <w:vAlign w:val="center"/>
            <w:hideMark/>
          </w:tcPr>
          <w:p w:rsidR="00EC387B" w:rsidRDefault="00ED40AF">
            <w:r>
              <w:t>3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Приморский край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4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4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3</w:t>
            </w:r>
          </w:p>
        </w:tc>
      </w:tr>
      <w:tr w:rsidR="00EC387B">
        <w:trPr>
          <w:trHeight w:val="240"/>
          <w:tblCellSpacing w:w="0" w:type="dxa"/>
        </w:trPr>
        <w:tc>
          <w:tcPr>
            <w:tcW w:w="0" w:type="auto"/>
            <w:vAlign w:val="center"/>
            <w:hideMark/>
          </w:tcPr>
          <w:p w:rsidR="00EC387B" w:rsidRDefault="00ED40AF">
            <w:r>
              <w:t>4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Хабаровский край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5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6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2</w:t>
            </w:r>
          </w:p>
        </w:tc>
      </w:tr>
      <w:tr w:rsidR="00EC387B">
        <w:trPr>
          <w:trHeight w:val="240"/>
          <w:tblCellSpacing w:w="0" w:type="dxa"/>
        </w:trPr>
        <w:tc>
          <w:tcPr>
            <w:tcW w:w="0" w:type="auto"/>
            <w:vAlign w:val="center"/>
            <w:hideMark/>
          </w:tcPr>
          <w:p w:rsidR="00EC387B" w:rsidRDefault="00ED40AF">
            <w:r>
              <w:t>5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Республика Саха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1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9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7</w:t>
            </w:r>
          </w:p>
        </w:tc>
      </w:tr>
      <w:tr w:rsidR="00EC387B">
        <w:trPr>
          <w:trHeight w:val="240"/>
          <w:tblCellSpacing w:w="0" w:type="dxa"/>
        </w:trPr>
        <w:tc>
          <w:tcPr>
            <w:tcW w:w="0" w:type="auto"/>
            <w:vAlign w:val="center"/>
            <w:hideMark/>
          </w:tcPr>
          <w:p w:rsidR="00EC387B" w:rsidRDefault="00ED40AF">
            <w:r>
              <w:t>6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Амурская область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2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7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6</w:t>
            </w:r>
          </w:p>
        </w:tc>
      </w:tr>
      <w:tr w:rsidR="00EC387B">
        <w:trPr>
          <w:trHeight w:val="240"/>
          <w:tblCellSpacing w:w="0" w:type="dxa"/>
        </w:trPr>
        <w:tc>
          <w:tcPr>
            <w:tcW w:w="0" w:type="auto"/>
            <w:vAlign w:val="center"/>
            <w:hideMark/>
          </w:tcPr>
          <w:p w:rsidR="00EC387B" w:rsidRDefault="00ED40AF">
            <w:r>
              <w:t>7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Магаданская область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6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2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8</w:t>
            </w:r>
          </w:p>
        </w:tc>
      </w:tr>
      <w:tr w:rsidR="00EC387B">
        <w:trPr>
          <w:trHeight w:val="240"/>
          <w:tblCellSpacing w:w="0" w:type="dxa"/>
        </w:trPr>
        <w:tc>
          <w:tcPr>
            <w:tcW w:w="0" w:type="auto"/>
            <w:vAlign w:val="center"/>
            <w:hideMark/>
          </w:tcPr>
          <w:p w:rsidR="00EC387B" w:rsidRDefault="00ED40AF">
            <w:r>
              <w:t>8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Сахалинская область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8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3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5</w:t>
            </w:r>
          </w:p>
        </w:tc>
      </w:tr>
      <w:tr w:rsidR="00EC387B">
        <w:trPr>
          <w:trHeight w:val="270"/>
          <w:tblCellSpacing w:w="0" w:type="dxa"/>
        </w:trPr>
        <w:tc>
          <w:tcPr>
            <w:tcW w:w="0" w:type="auto"/>
            <w:vAlign w:val="center"/>
            <w:hideMark/>
          </w:tcPr>
          <w:p w:rsidR="00EC387B" w:rsidRDefault="00ED40AF">
            <w:r>
              <w:t>9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Чукотский АО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9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8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4</w:t>
            </w:r>
          </w:p>
        </w:tc>
      </w:tr>
    </w:tbl>
    <w:p w:rsidR="00EC387B" w:rsidRPr="00ED40AF" w:rsidRDefault="00ED40AF">
      <w:pPr>
        <w:pStyle w:val="a3"/>
      </w:pPr>
      <w:r>
        <w:t>Исторические факторы сказываются и на уровне человеческого потенциала регионов, рейтинги по которому представлены во второй таблице. Именно так можно объяснить расположение в верхней части списка Новосибирской, Томской и Омской областей. Попаданию же в лидеры Республик Алтай и Тыва способствовали другие факторы: первая лидирует по экологическим условиям жизни, а вторая - по их динамике. Последнее место по сравнению с соседними регионами занимает Кемеровская область, где не только условия жизни оценены как наихудшие в регионе, но и их динамика довольно низка в отличие, например, от соседней Хакасии. На предпоследнем месте - Забайкальский край, что удивительно, поскольку обычно низкие показатели человеческого потенциала связаны с низкими же показателями природного потенциала территории. Однако в данном регионе причина низкой жизнеспособности населения и плохих условий жизни, видимо, лежит не в экологической сфере.</w:t>
      </w:r>
    </w:p>
    <w:p w:rsidR="00EC387B" w:rsidRDefault="00ED40AF">
      <w:pPr>
        <w:pStyle w:val="a3"/>
      </w:pPr>
      <w:r>
        <w:t>Таблица 2</w:t>
      </w:r>
    </w:p>
    <w:p w:rsidR="00EC387B" w:rsidRDefault="00ED40AF">
      <w:pPr>
        <w:pStyle w:val="a3"/>
      </w:pPr>
      <w:r>
        <w:t>Ранжирование регионов Сибирского ФО по критериям развития человеческого потенциала</w:t>
      </w:r>
    </w:p>
    <w:p w:rsidR="00EC387B" w:rsidRDefault="00ED40AF">
      <w:pPr>
        <w:pStyle w:val="a3"/>
      </w:pPr>
      <w: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"/>
        <w:gridCol w:w="480"/>
        <w:gridCol w:w="480"/>
        <w:gridCol w:w="480"/>
        <w:gridCol w:w="480"/>
      </w:tblGrid>
      <w:tr w:rsidR="00EC387B">
        <w:trPr>
          <w:trHeight w:val="255"/>
          <w:tblCellSpacing w:w="0" w:type="dxa"/>
        </w:trPr>
        <w:tc>
          <w:tcPr>
            <w:tcW w:w="0" w:type="auto"/>
            <w:vAlign w:val="center"/>
            <w:hideMark/>
          </w:tcPr>
          <w:p w:rsidR="00EC387B" w:rsidRDefault="00ED40AF">
            <w:r>
              <w:t>Место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Регионы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Жизнеспо-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Экологиче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Динамика жизне</w:t>
            </w:r>
          </w:p>
        </w:tc>
      </w:tr>
      <w:tr w:rsidR="00EC387B">
        <w:trPr>
          <w:trHeight w:val="255"/>
          <w:tblCellSpacing w:w="0" w:type="dxa"/>
        </w:trPr>
        <w:tc>
          <w:tcPr>
            <w:tcW w:w="0" w:type="auto"/>
            <w:vAlign w:val="center"/>
            <w:hideMark/>
          </w:tcPr>
          <w:p w:rsidR="00EC387B" w:rsidRDefault="00ED40AF">
            <w:r>
              <w:t>в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собность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ские усло-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способности и</w:t>
            </w:r>
          </w:p>
        </w:tc>
      </w:tr>
      <w:tr w:rsidR="00EC387B">
        <w:trPr>
          <w:trHeight w:val="210"/>
          <w:tblCellSpacing w:w="0" w:type="dxa"/>
        </w:trPr>
        <w:tc>
          <w:tcPr>
            <w:tcW w:w="0" w:type="auto"/>
            <w:vAlign w:val="center"/>
            <w:hideMark/>
          </w:tcPr>
          <w:p w:rsidR="00EC387B" w:rsidRDefault="00ED40AF">
            <w:r>
              <w:t>округе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населения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вия жизни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условий жизни</w:t>
            </w:r>
          </w:p>
        </w:tc>
      </w:tr>
      <w:tr w:rsidR="00EC387B">
        <w:trPr>
          <w:trHeight w:val="255"/>
          <w:tblCellSpacing w:w="0" w:type="dxa"/>
        </w:trPr>
        <w:tc>
          <w:tcPr>
            <w:tcW w:w="0" w:type="auto"/>
            <w:vAlign w:val="center"/>
            <w:hideMark/>
          </w:tcPr>
          <w:p w:rsidR="00EC387B" w:rsidRDefault="00ED40AF">
            <w:r>
              <w:t>1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Республика Алтай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9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1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2</w:t>
            </w:r>
          </w:p>
        </w:tc>
      </w:tr>
    </w:tbl>
    <w:p w:rsidR="00EC387B" w:rsidRPr="00ED40AF" w:rsidRDefault="00ED40AF">
      <w:pPr>
        <w:pStyle w:val="a3"/>
      </w:pPr>
      <w:r>
        <w:t> </w:t>
      </w:r>
    </w:p>
    <w:p w:rsidR="00EC387B" w:rsidRDefault="00ED40AF">
      <w:pPr>
        <w:pStyle w:val="a3"/>
      </w:pPr>
      <w:r>
        <w:t> </w:t>
      </w:r>
    </w:p>
    <w:p w:rsidR="00EC387B" w:rsidRDefault="00ED40AF">
      <w:pPr>
        <w:pStyle w:val="a3"/>
      </w:pPr>
      <w:r>
        <w:t>Продолжение таблицы 1</w:t>
      </w:r>
    </w:p>
    <w:p w:rsidR="00EC387B" w:rsidRDefault="00ED40AF">
      <w:pPr>
        <w:pStyle w:val="a3"/>
      </w:pPr>
      <w: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"/>
        <w:gridCol w:w="480"/>
        <w:gridCol w:w="480"/>
        <w:gridCol w:w="480"/>
        <w:gridCol w:w="480"/>
      </w:tblGrid>
      <w:tr w:rsidR="00EC387B">
        <w:trPr>
          <w:trHeight w:val="480"/>
          <w:tblCellSpacing w:w="0" w:type="dxa"/>
        </w:trPr>
        <w:tc>
          <w:tcPr>
            <w:tcW w:w="0" w:type="auto"/>
            <w:vAlign w:val="center"/>
            <w:hideMark/>
          </w:tcPr>
          <w:p w:rsidR="00EC387B" w:rsidRDefault="00ED40AF">
            <w:r>
              <w:t>2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Новосибирская область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1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2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7</w:t>
            </w:r>
          </w:p>
        </w:tc>
      </w:tr>
      <w:tr w:rsidR="00EC387B">
        <w:trPr>
          <w:trHeight w:val="240"/>
          <w:tblCellSpacing w:w="0" w:type="dxa"/>
        </w:trPr>
        <w:tc>
          <w:tcPr>
            <w:tcW w:w="0" w:type="auto"/>
            <w:vAlign w:val="center"/>
            <w:hideMark/>
          </w:tcPr>
          <w:p w:rsidR="00EC387B" w:rsidRDefault="00ED40AF">
            <w:r>
              <w:t>3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Республика Тыва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11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3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1</w:t>
            </w:r>
          </w:p>
        </w:tc>
      </w:tr>
      <w:tr w:rsidR="00EC387B">
        <w:trPr>
          <w:trHeight w:val="240"/>
          <w:tblCellSpacing w:w="0" w:type="dxa"/>
        </w:trPr>
        <w:tc>
          <w:tcPr>
            <w:tcW w:w="0" w:type="auto"/>
            <w:vAlign w:val="center"/>
            <w:hideMark/>
          </w:tcPr>
          <w:p w:rsidR="00EC387B" w:rsidRDefault="00ED40AF">
            <w:r>
              <w:t>4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Томская область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2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6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4</w:t>
            </w:r>
          </w:p>
        </w:tc>
      </w:tr>
      <w:tr w:rsidR="00EC387B">
        <w:trPr>
          <w:trHeight w:val="240"/>
          <w:tblCellSpacing w:w="0" w:type="dxa"/>
        </w:trPr>
        <w:tc>
          <w:tcPr>
            <w:tcW w:w="0" w:type="auto"/>
            <w:vAlign w:val="center"/>
            <w:hideMark/>
          </w:tcPr>
          <w:p w:rsidR="00EC387B" w:rsidRDefault="00ED40AF">
            <w:r>
              <w:t>5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Алтайский край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4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5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6</w:t>
            </w:r>
          </w:p>
        </w:tc>
      </w:tr>
      <w:tr w:rsidR="00EC387B">
        <w:trPr>
          <w:trHeight w:val="240"/>
          <w:tblCellSpacing w:w="0" w:type="dxa"/>
        </w:trPr>
        <w:tc>
          <w:tcPr>
            <w:tcW w:w="0" w:type="auto"/>
            <w:vAlign w:val="center"/>
            <w:hideMark/>
          </w:tcPr>
          <w:p w:rsidR="00EC387B" w:rsidRDefault="00ED40AF">
            <w:r>
              <w:t>6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Омская область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3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4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12</w:t>
            </w:r>
          </w:p>
        </w:tc>
      </w:tr>
      <w:tr w:rsidR="00EC387B">
        <w:trPr>
          <w:trHeight w:val="240"/>
          <w:tblCellSpacing w:w="0" w:type="dxa"/>
        </w:trPr>
        <w:tc>
          <w:tcPr>
            <w:tcW w:w="0" w:type="auto"/>
            <w:vAlign w:val="center"/>
            <w:hideMark/>
          </w:tcPr>
          <w:p w:rsidR="00EC387B" w:rsidRDefault="00ED40AF">
            <w:r>
              <w:t>7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Республика Хакасия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12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8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3</w:t>
            </w:r>
          </w:p>
        </w:tc>
      </w:tr>
      <w:tr w:rsidR="00EC387B">
        <w:trPr>
          <w:trHeight w:val="240"/>
          <w:tblCellSpacing w:w="0" w:type="dxa"/>
        </w:trPr>
        <w:tc>
          <w:tcPr>
            <w:tcW w:w="0" w:type="auto"/>
            <w:vAlign w:val="center"/>
            <w:hideMark/>
          </w:tcPr>
          <w:p w:rsidR="00EC387B" w:rsidRDefault="00ED40AF">
            <w:r>
              <w:t>8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Красноярский край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8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11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5</w:t>
            </w:r>
          </w:p>
        </w:tc>
      </w:tr>
      <w:tr w:rsidR="00EC387B">
        <w:trPr>
          <w:trHeight w:val="240"/>
          <w:tblCellSpacing w:w="0" w:type="dxa"/>
        </w:trPr>
        <w:tc>
          <w:tcPr>
            <w:tcW w:w="0" w:type="auto"/>
            <w:vAlign w:val="center"/>
            <w:hideMark/>
          </w:tcPr>
          <w:p w:rsidR="00EC387B" w:rsidRDefault="00ED40AF">
            <w:r>
              <w:t>9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Иркутская область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7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7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10</w:t>
            </w:r>
          </w:p>
        </w:tc>
      </w:tr>
      <w:tr w:rsidR="00EC387B">
        <w:trPr>
          <w:trHeight w:val="240"/>
          <w:tblCellSpacing w:w="0" w:type="dxa"/>
        </w:trPr>
        <w:tc>
          <w:tcPr>
            <w:tcW w:w="0" w:type="auto"/>
            <w:vAlign w:val="center"/>
            <w:hideMark/>
          </w:tcPr>
          <w:p w:rsidR="00EC387B" w:rsidRDefault="00ED40AF">
            <w:r>
              <w:t>10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Республика Бурятия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6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10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9</w:t>
            </w:r>
          </w:p>
        </w:tc>
      </w:tr>
      <w:tr w:rsidR="00EC387B">
        <w:trPr>
          <w:trHeight w:val="240"/>
          <w:tblCellSpacing w:w="0" w:type="dxa"/>
        </w:trPr>
        <w:tc>
          <w:tcPr>
            <w:tcW w:w="0" w:type="auto"/>
            <w:vAlign w:val="center"/>
            <w:hideMark/>
          </w:tcPr>
          <w:p w:rsidR="00EC387B" w:rsidRDefault="00ED40AF">
            <w:r>
              <w:t>11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Забайкальский край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10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9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11</w:t>
            </w:r>
          </w:p>
        </w:tc>
      </w:tr>
      <w:tr w:rsidR="00EC387B">
        <w:trPr>
          <w:trHeight w:val="270"/>
          <w:tblCellSpacing w:w="0" w:type="dxa"/>
        </w:trPr>
        <w:tc>
          <w:tcPr>
            <w:tcW w:w="0" w:type="auto"/>
            <w:vAlign w:val="center"/>
            <w:hideMark/>
          </w:tcPr>
          <w:p w:rsidR="00EC387B" w:rsidRDefault="00ED40AF">
            <w:r>
              <w:t>12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Кемеровская область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5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12</w:t>
            </w:r>
          </w:p>
        </w:tc>
        <w:tc>
          <w:tcPr>
            <w:tcW w:w="0" w:type="auto"/>
            <w:vAlign w:val="center"/>
            <w:hideMark/>
          </w:tcPr>
          <w:p w:rsidR="00EC387B" w:rsidRDefault="00ED40AF">
            <w:r>
              <w:t>8</w:t>
            </w:r>
          </w:p>
        </w:tc>
      </w:tr>
    </w:tbl>
    <w:p w:rsidR="00EC387B" w:rsidRPr="00ED40AF" w:rsidRDefault="00ED40AF">
      <w:pPr>
        <w:pStyle w:val="a3"/>
      </w:pPr>
      <w:r>
        <w:t>Сегодня все проблемы Сибири и Дальнего Востока, на которые приходится 60% территории страны, можно выразить одним словом: уезжают. Сейчас здесь проживает всего 25 млн. человек. И хотя практически во всех регионах Сибирского и Дальневосточного федеральных округов показатели рождаемости и смертности соответствуют общероссийским тенденциям (в Туве рождаемость и вовсе идентична «кавказской»), численность населения региона от переписи к переписи сокращается.</w:t>
      </w:r>
    </w:p>
    <w:p w:rsidR="00EC387B" w:rsidRDefault="00ED40AF">
      <w:pPr>
        <w:pStyle w:val="a3"/>
      </w:pPr>
      <w:r>
        <w:t>При этом если Россия в целом с 1989-го по 2010 год потеряла 3,5% населения, то СФО - 8,6%, а ДФО и вовсе 20%. И дело не в повышенной смертности, а именно в миграции с востока в другие регионы (см. рис. 2 и 3). То есть если в целом по России мы видим миграционный прирост в размере 13 человек на 10 тыс. жителей, то в Сибирском и Дальневосточном округах зафиксирован миграционный отток [6].</w:t>
      </w:r>
    </w:p>
    <w:p w:rsidR="00EC387B" w:rsidRDefault="000A6CBE">
      <w:pPr>
        <w:pStyle w:val="a3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286.5pt;height:348.75pt">
            <v:imagedata r:id="rId4" o:title=""/>
          </v:shape>
        </w:pict>
      </w:r>
    </w:p>
    <w:p w:rsidR="00EC387B" w:rsidRDefault="00ED40AF">
      <w:pPr>
        <w:pStyle w:val="a3"/>
      </w:pPr>
      <w:r>
        <w:t>Рис. 3</w:t>
      </w:r>
    </w:p>
    <w:p w:rsidR="00EC387B" w:rsidRDefault="00ED40AF">
      <w:pPr>
        <w:pStyle w:val="a3"/>
      </w:pPr>
      <w:r>
        <w:t>Исходя из показателей, напрашивается вывод, что основной упор в социально-экономическом развитии России государственным органам следует направить:</w:t>
      </w:r>
    </w:p>
    <w:p w:rsidR="00EC387B" w:rsidRDefault="00ED40AF">
      <w:pPr>
        <w:pStyle w:val="a3"/>
      </w:pPr>
      <w:r>
        <w:t>в сферу образования и науки;</w:t>
      </w:r>
    </w:p>
    <w:p w:rsidR="00EC387B" w:rsidRDefault="00ED40AF">
      <w:pPr>
        <w:pStyle w:val="a3"/>
      </w:pPr>
      <w:r>
        <w:t>на улучшение качества жизни;</w:t>
      </w:r>
    </w:p>
    <w:p w:rsidR="00EC387B" w:rsidRDefault="00ED40AF">
      <w:pPr>
        <w:pStyle w:val="a3"/>
      </w:pPr>
      <w:r>
        <w:t>на сокращение смерти от неестественных причин;</w:t>
      </w:r>
    </w:p>
    <w:p w:rsidR="00EC387B" w:rsidRDefault="00ED40AF">
      <w:pPr>
        <w:pStyle w:val="a3"/>
      </w:pPr>
      <w:r>
        <w:t>на увеличение рождаемости;</w:t>
      </w:r>
    </w:p>
    <w:p w:rsidR="00EC387B" w:rsidRDefault="00ED40AF">
      <w:pPr>
        <w:pStyle w:val="a3"/>
      </w:pPr>
      <w:r>
        <w:t>на сокращение неравенства по уровню доходов и в получении образования;</w:t>
      </w:r>
    </w:p>
    <w:p w:rsidR="00EC387B" w:rsidRDefault="00ED40AF">
      <w:pPr>
        <w:pStyle w:val="a3"/>
      </w:pPr>
      <w:r>
        <w:t>на улучшение качества здравоохранения;</w:t>
      </w:r>
    </w:p>
    <w:p w:rsidR="00EC387B" w:rsidRDefault="00ED40AF">
      <w:pPr>
        <w:pStyle w:val="a3"/>
      </w:pPr>
      <w:r>
        <w:t>в расширение принципа свободной конкуренции и равных прав и возможностей для всего населения РФ.</w:t>
      </w:r>
    </w:p>
    <w:p w:rsidR="00EC387B" w:rsidRDefault="00ED40AF">
      <w:pPr>
        <w:pStyle w:val="a3"/>
      </w:pPr>
      <w:r>
        <w:t>Это в дальнейшем, позволит ускорить темпы модернизации и уровень инновационного потенциала национальной экономики.</w:t>
      </w:r>
    </w:p>
    <w:p w:rsidR="00EC387B" w:rsidRDefault="00ED40AF">
      <w:pPr>
        <w:pStyle w:val="a3"/>
      </w:pPr>
      <w:r>
        <w:t>Список литературы</w:t>
      </w:r>
    </w:p>
    <w:p w:rsidR="00EC387B" w:rsidRDefault="00ED40AF">
      <w:pPr>
        <w:pStyle w:val="a3"/>
      </w:pPr>
      <w:r>
        <w:t>Международной научной конференции студентов, аспирантов и молодых ученых «Научный потенциал студенчества в 21 веке» Т3.Экономика. г.Севастополь. Изд-во СевКавГТУ - 2010 - с.592</w:t>
      </w:r>
    </w:p>
    <w:p w:rsidR="00EC387B" w:rsidRDefault="00ED40AF">
      <w:pPr>
        <w:pStyle w:val="a3"/>
      </w:pPr>
      <w:r>
        <w:t>Дракер. Новое общество организаций / Дракер // Вестник Санкт-Петербуржского Университета. Серия 8. - Выпуск 1 - .С.96-112.</w:t>
      </w:r>
    </w:p>
    <w:p w:rsidR="00EC387B" w:rsidRDefault="00ED40AF">
      <w:pPr>
        <w:pStyle w:val="a3"/>
      </w:pPr>
      <w:r>
        <w:t>Салтыкова Ю.А Государственное регулирование деятельности высокотехнологичного производства СФО / Ю.А. Салтыкова, А.В. Скворцова // Вестник Иркутского государственного технического университета. 2011. - Т. 58. - № 11. - С. 271-275.</w:t>
      </w:r>
    </w:p>
    <w:p w:rsidR="00EC387B" w:rsidRDefault="00ED40AF">
      <w:pPr>
        <w:pStyle w:val="a3"/>
      </w:pPr>
      <w:r>
        <w:t>Ултургашева О.Г. Проблемы развития легкой и текстильной промышленности Республики Хакасия (1980-2000 гг.) / О.Г. Ултургашева // Современные проблемы науки и образования. 2005. - № 2. - С. 100.</w:t>
      </w:r>
    </w:p>
    <w:p w:rsidR="00EC387B" w:rsidRDefault="00ED40AF">
      <w:pPr>
        <w:pStyle w:val="a3"/>
      </w:pPr>
      <w:r>
        <w:t>Шобдоева Н.В. Инвестиции в качество человеческого капитала / Н.В.</w:t>
      </w:r>
    </w:p>
    <w:p w:rsidR="00EC387B" w:rsidRDefault="00ED40AF">
      <w:pPr>
        <w:pStyle w:val="a3"/>
      </w:pPr>
      <w:r>
        <w:t>Шобдоева // Известия Иркутской государственной экономической академии. -2009. - №6 (62) - с. 5-7</w:t>
      </w:r>
    </w:p>
    <w:p w:rsidR="00EC387B" w:rsidRDefault="00ED40AF">
      <w:pPr>
        <w:pStyle w:val="a3"/>
      </w:pPr>
      <w:r>
        <w:t>Попов А. Сибирь и Дальний Восток все больше погружаются в демографическую и экономическую пропасть [Электронный ресурс] / А. Попов, С. Чернышов // Эксперт. 2012. - №27 (810). - Режим доступа: http://expert.ru/expert/2012/27/mertvyij- vostok</w:t>
      </w:r>
      <w:bookmarkStart w:id="0" w:name="_GoBack"/>
      <w:bookmarkEnd w:id="0"/>
    </w:p>
    <w:sectPr w:rsidR="00EC387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40AF"/>
    <w:rsid w:val="000A6CBE"/>
    <w:rsid w:val="00EC387B"/>
    <w:rsid w:val="00ED4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7CDD4E01-82DE-4E6B-98BA-F51A55A4B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1361</Words>
  <Characters>7764</Characters>
  <Application>Microsoft Office Word</Application>
  <DocSecurity>0</DocSecurity>
  <Lines>64</Lines>
  <Paragraphs>18</Paragraphs>
  <ScaleCrop>false</ScaleCrop>
  <Company>diakov.net</Company>
  <LinksUpToDate>false</LinksUpToDate>
  <CharactersWithSpaces>9107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Исследование человеческого потенциала в инновационной экономике Байкальского региона и Дальнего Востока Российской Федерации</dc:title>
  <dc:subject/>
  <dc:creator>Irina</dc:creator>
  <cp:keywords/>
  <dc:description/>
  <cp:lastModifiedBy>Irina</cp:lastModifiedBy>
  <cp:revision>2</cp:revision>
  <dcterms:created xsi:type="dcterms:W3CDTF">2014-08-02T19:10:00Z</dcterms:created>
  <dcterms:modified xsi:type="dcterms:W3CDTF">2014-08-02T19:10:00Z</dcterms:modified>
</cp:coreProperties>
</file>