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66D" w:rsidRDefault="006C366D">
      <w:pPr>
        <w:pStyle w:val="22"/>
        <w:jc w:val="center"/>
        <w:rPr>
          <w:rFonts w:ascii="Century Gothic" w:hAnsi="Century Gothic" w:cs="Century Gothic"/>
          <w:u w:val="none"/>
        </w:rPr>
      </w:pPr>
      <w:bookmarkStart w:id="0" w:name="_Toc4837618"/>
      <w:r>
        <w:rPr>
          <w:rFonts w:ascii="Century Gothic" w:hAnsi="Century Gothic" w:cs="Century Gothic"/>
          <w:u w:val="none"/>
        </w:rPr>
        <w:t>Европейский Университет Финансов, Информационных систем,  Менеджмента и Бизнеса.</w:t>
      </w:r>
    </w:p>
    <w:p w:rsidR="006C366D" w:rsidRDefault="006C366D">
      <w:pPr>
        <w:spacing w:line="240" w:lineRule="auto"/>
        <w:ind w:left="-709"/>
        <w:jc w:val="center"/>
        <w:rPr>
          <w:rFonts w:ascii="Century Gothic" w:hAnsi="Century Gothic" w:cs="Century Gothic"/>
        </w:rPr>
      </w:pPr>
    </w:p>
    <w:p w:rsidR="006C366D" w:rsidRDefault="006C366D">
      <w:pPr>
        <w:pStyle w:val="a3"/>
        <w:tabs>
          <w:tab w:val="clear" w:pos="4153"/>
          <w:tab w:val="clear" w:pos="8306"/>
        </w:tabs>
        <w:spacing w:line="240" w:lineRule="auto"/>
        <w:ind w:left="-709"/>
        <w:jc w:val="center"/>
        <w:rPr>
          <w:rFonts w:ascii="Century Gothic" w:hAnsi="Century Gothic" w:cs="Century Gothic"/>
        </w:rPr>
      </w:pPr>
    </w:p>
    <w:p w:rsidR="006C366D" w:rsidRDefault="006C366D">
      <w:pPr>
        <w:pStyle w:val="a3"/>
        <w:tabs>
          <w:tab w:val="clear" w:pos="4153"/>
          <w:tab w:val="clear" w:pos="8306"/>
        </w:tabs>
        <w:spacing w:line="240" w:lineRule="auto"/>
        <w:ind w:left="-709"/>
        <w:jc w:val="center"/>
        <w:rPr>
          <w:rFonts w:ascii="Century Gothic" w:hAnsi="Century Gothic" w:cs="Century Gothic"/>
        </w:rPr>
      </w:pPr>
    </w:p>
    <w:p w:rsidR="006C366D" w:rsidRDefault="006C366D">
      <w:pPr>
        <w:spacing w:line="240" w:lineRule="auto"/>
        <w:ind w:left="-709"/>
        <w:jc w:val="center"/>
        <w:rPr>
          <w:rFonts w:ascii="Century Gothic" w:hAnsi="Century Gothic" w:cs="Century Gothic"/>
        </w:rPr>
      </w:pPr>
    </w:p>
    <w:p w:rsidR="006C366D" w:rsidRDefault="006C366D">
      <w:pPr>
        <w:tabs>
          <w:tab w:val="left" w:pos="142"/>
        </w:tabs>
        <w:spacing w:line="240" w:lineRule="auto"/>
        <w:ind w:left="-709" w:firstLine="0"/>
        <w:jc w:val="center"/>
        <w:rPr>
          <w:rFonts w:ascii="Century Gothic" w:hAnsi="Century Gothic" w:cs="Century Gothic"/>
          <w:sz w:val="22"/>
          <w:szCs w:val="22"/>
        </w:rPr>
      </w:pPr>
      <w:r>
        <w:rPr>
          <w:rFonts w:ascii="Century Gothic" w:hAnsi="Century Gothic" w:cs="Century Gothic"/>
          <w:sz w:val="22"/>
          <w:szCs w:val="22"/>
        </w:rPr>
        <w:t>Кафедра экономики</w:t>
      </w:r>
    </w:p>
    <w:p w:rsidR="006C366D" w:rsidRDefault="006C366D">
      <w:pPr>
        <w:tabs>
          <w:tab w:val="left" w:pos="3232"/>
        </w:tabs>
        <w:spacing w:line="240" w:lineRule="auto"/>
        <w:ind w:left="-709"/>
        <w:jc w:val="center"/>
        <w:rPr>
          <w:rFonts w:ascii="Century Gothic" w:hAnsi="Century Gothic" w:cs="Century Gothic"/>
        </w:rPr>
      </w:pPr>
    </w:p>
    <w:p w:rsidR="006C366D" w:rsidRDefault="006C366D">
      <w:pPr>
        <w:tabs>
          <w:tab w:val="left" w:pos="3232"/>
        </w:tabs>
        <w:spacing w:line="240" w:lineRule="auto"/>
        <w:ind w:left="-709"/>
        <w:rPr>
          <w:rFonts w:ascii="Century Gothic" w:hAnsi="Century Gothic" w:cs="Century Gothic"/>
          <w:b/>
          <w:bCs/>
          <w:i/>
          <w:iCs/>
        </w:rPr>
      </w:pPr>
    </w:p>
    <w:p w:rsidR="006C366D" w:rsidRDefault="006C366D">
      <w:pPr>
        <w:tabs>
          <w:tab w:val="left" w:pos="3232"/>
        </w:tabs>
        <w:spacing w:line="240" w:lineRule="auto"/>
        <w:ind w:left="-709"/>
        <w:jc w:val="center"/>
        <w:rPr>
          <w:rFonts w:ascii="Century Gothic" w:hAnsi="Century Gothic" w:cs="Century Gothic"/>
        </w:rPr>
      </w:pPr>
    </w:p>
    <w:p w:rsidR="006C366D" w:rsidRDefault="006C366D">
      <w:pPr>
        <w:tabs>
          <w:tab w:val="left" w:pos="3232"/>
        </w:tabs>
        <w:spacing w:line="240" w:lineRule="auto"/>
        <w:ind w:left="-709"/>
        <w:jc w:val="center"/>
        <w:rPr>
          <w:rFonts w:ascii="Century Gothic" w:hAnsi="Century Gothic" w:cs="Century Gothic"/>
          <w:lang w:val="en-US"/>
        </w:rPr>
      </w:pPr>
    </w:p>
    <w:p w:rsidR="006C366D" w:rsidRDefault="006C366D">
      <w:pPr>
        <w:tabs>
          <w:tab w:val="left" w:pos="3232"/>
        </w:tabs>
        <w:spacing w:line="240" w:lineRule="auto"/>
        <w:ind w:left="-709" w:firstLine="0"/>
        <w:jc w:val="center"/>
        <w:rPr>
          <w:rFonts w:ascii="Century Gothic" w:hAnsi="Century Gothic" w:cs="Century Gothic"/>
          <w:lang w:val="en-US"/>
        </w:rPr>
      </w:pPr>
    </w:p>
    <w:p w:rsidR="006C366D" w:rsidRDefault="006C366D">
      <w:pPr>
        <w:tabs>
          <w:tab w:val="left" w:pos="3232"/>
        </w:tabs>
        <w:spacing w:line="240" w:lineRule="auto"/>
        <w:ind w:left="-709"/>
        <w:jc w:val="center"/>
        <w:rPr>
          <w:rFonts w:ascii="Century Gothic" w:hAnsi="Century Gothic" w:cs="Century Gothic"/>
          <w:lang w:val="en-US"/>
        </w:rPr>
      </w:pPr>
    </w:p>
    <w:p w:rsidR="006C366D" w:rsidRDefault="006C366D">
      <w:pPr>
        <w:tabs>
          <w:tab w:val="left" w:pos="3232"/>
        </w:tabs>
        <w:spacing w:line="240" w:lineRule="auto"/>
        <w:ind w:left="-709"/>
        <w:jc w:val="center"/>
        <w:rPr>
          <w:rFonts w:ascii="Century Gothic" w:hAnsi="Century Gothic" w:cs="Century Gothic"/>
          <w:lang w:val="en-US"/>
        </w:rPr>
      </w:pPr>
    </w:p>
    <w:p w:rsidR="006C366D" w:rsidRDefault="006C366D">
      <w:pPr>
        <w:tabs>
          <w:tab w:val="left" w:pos="3232"/>
        </w:tabs>
        <w:spacing w:line="240" w:lineRule="auto"/>
        <w:ind w:left="-709"/>
        <w:jc w:val="center"/>
        <w:rPr>
          <w:rFonts w:ascii="Century Gothic" w:hAnsi="Century Gothic" w:cs="Century Gothic"/>
          <w:sz w:val="32"/>
          <w:szCs w:val="32"/>
        </w:rPr>
      </w:pPr>
      <w:r>
        <w:rPr>
          <w:rFonts w:ascii="Century Gothic" w:hAnsi="Century Gothic" w:cs="Century Gothic"/>
          <w:sz w:val="32"/>
          <w:szCs w:val="32"/>
        </w:rPr>
        <w:t>Реферат по предмету:</w:t>
      </w:r>
    </w:p>
    <w:p w:rsidR="006C366D" w:rsidRDefault="006C366D">
      <w:pPr>
        <w:tabs>
          <w:tab w:val="left" w:pos="3232"/>
        </w:tabs>
        <w:spacing w:line="240" w:lineRule="auto"/>
        <w:ind w:left="-709"/>
        <w:jc w:val="center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Международные экономические отношения.</w:t>
      </w:r>
    </w:p>
    <w:p w:rsidR="006C366D" w:rsidRDefault="006C366D">
      <w:pPr>
        <w:spacing w:line="240" w:lineRule="auto"/>
        <w:ind w:left="-709" w:firstLine="0"/>
        <w:jc w:val="center"/>
        <w:rPr>
          <w:rFonts w:ascii="Century Gothic" w:hAnsi="Century Gothic" w:cs="Century Gothic"/>
        </w:rPr>
      </w:pPr>
    </w:p>
    <w:p w:rsidR="006C366D" w:rsidRPr="00DB075B" w:rsidRDefault="00DB075B">
      <w:pPr>
        <w:spacing w:line="240" w:lineRule="auto"/>
        <w:ind w:firstLine="0"/>
        <w:rPr>
          <w:rFonts w:ascii="Century Gothic" w:hAnsi="Century Gothic" w:cs="Century Gothic"/>
          <w:sz w:val="36"/>
          <w:szCs w:val="36"/>
          <w:lang w:val="en-US"/>
        </w:rPr>
      </w:pPr>
      <w:r>
        <w:rPr>
          <w:rFonts w:ascii="Century Gothic" w:hAnsi="Century Gothic" w:cs="Century Gothic"/>
          <w:sz w:val="36"/>
          <w:szCs w:val="36"/>
          <w:lang w:val="en-US"/>
        </w:rPr>
        <w:t>На тему: Трудовая миграция</w:t>
      </w:r>
      <w:r>
        <w:rPr>
          <w:rFonts w:ascii="Century Gothic" w:hAnsi="Century Gothic" w:cs="Century Gothic"/>
          <w:sz w:val="36"/>
          <w:szCs w:val="36"/>
        </w:rPr>
        <w:t xml:space="preserve"> - с</w:t>
      </w:r>
      <w:r w:rsidRPr="00DB075B">
        <w:rPr>
          <w:rFonts w:ascii="Century Gothic" w:hAnsi="Century Gothic" w:cs="Century Gothic"/>
          <w:sz w:val="36"/>
          <w:szCs w:val="36"/>
          <w:lang w:val="en-US"/>
        </w:rPr>
        <w:t>ущность и виды.</w:t>
      </w:r>
    </w:p>
    <w:p w:rsidR="006C366D" w:rsidRDefault="006C366D">
      <w:pPr>
        <w:spacing w:line="240" w:lineRule="auto"/>
        <w:ind w:left="-709"/>
        <w:jc w:val="center"/>
        <w:rPr>
          <w:rFonts w:ascii="Century Gothic" w:hAnsi="Century Gothic" w:cs="Century Gothic"/>
        </w:rPr>
      </w:pPr>
    </w:p>
    <w:p w:rsidR="006C366D" w:rsidRDefault="006C366D">
      <w:pPr>
        <w:spacing w:line="240" w:lineRule="auto"/>
        <w:ind w:left="-709"/>
        <w:jc w:val="center"/>
        <w:rPr>
          <w:rFonts w:ascii="Century Gothic" w:hAnsi="Century Gothic" w:cs="Century Gothic"/>
        </w:rPr>
      </w:pPr>
    </w:p>
    <w:p w:rsidR="006C366D" w:rsidRDefault="006C366D">
      <w:pPr>
        <w:spacing w:line="240" w:lineRule="auto"/>
        <w:ind w:left="-709"/>
        <w:jc w:val="center"/>
        <w:rPr>
          <w:rFonts w:ascii="Century Gothic" w:hAnsi="Century Gothic" w:cs="Century Gothic"/>
        </w:rPr>
      </w:pPr>
    </w:p>
    <w:p w:rsidR="006C366D" w:rsidRDefault="006C366D">
      <w:pPr>
        <w:tabs>
          <w:tab w:val="left" w:pos="6731"/>
        </w:tabs>
        <w:spacing w:line="240" w:lineRule="auto"/>
        <w:ind w:left="-709"/>
        <w:jc w:val="center"/>
        <w:rPr>
          <w:rFonts w:ascii="Century Gothic" w:hAnsi="Century Gothic" w:cs="Century Gothic"/>
          <w:lang w:val="en-US"/>
        </w:rPr>
      </w:pPr>
    </w:p>
    <w:p w:rsidR="006C366D" w:rsidRDefault="006C366D">
      <w:pPr>
        <w:tabs>
          <w:tab w:val="left" w:pos="6731"/>
        </w:tabs>
        <w:spacing w:line="240" w:lineRule="auto"/>
        <w:ind w:left="-709"/>
        <w:jc w:val="center"/>
        <w:rPr>
          <w:rFonts w:ascii="Century Gothic" w:hAnsi="Century Gothic" w:cs="Century Gothic"/>
          <w:lang w:val="en-US"/>
        </w:rPr>
      </w:pPr>
    </w:p>
    <w:p w:rsidR="006C366D" w:rsidRDefault="006C366D">
      <w:pPr>
        <w:tabs>
          <w:tab w:val="left" w:pos="6731"/>
        </w:tabs>
        <w:spacing w:line="240" w:lineRule="auto"/>
        <w:ind w:left="-709"/>
        <w:jc w:val="center"/>
        <w:rPr>
          <w:rFonts w:ascii="Century Gothic" w:hAnsi="Century Gothic" w:cs="Century Gothic"/>
          <w:lang w:val="en-US"/>
        </w:rPr>
      </w:pPr>
    </w:p>
    <w:p w:rsidR="006C366D" w:rsidRDefault="006C366D">
      <w:pPr>
        <w:tabs>
          <w:tab w:val="left" w:pos="6731"/>
        </w:tabs>
        <w:spacing w:line="240" w:lineRule="auto"/>
        <w:ind w:left="-709"/>
        <w:jc w:val="center"/>
        <w:rPr>
          <w:rFonts w:ascii="Century Gothic" w:hAnsi="Century Gothic" w:cs="Century Gothic"/>
          <w:lang w:val="en-US"/>
        </w:rPr>
      </w:pPr>
    </w:p>
    <w:p w:rsidR="006C366D" w:rsidRDefault="006C366D">
      <w:pPr>
        <w:tabs>
          <w:tab w:val="left" w:pos="6731"/>
        </w:tabs>
        <w:spacing w:line="240" w:lineRule="auto"/>
        <w:ind w:left="-709" w:firstLine="0"/>
        <w:jc w:val="right"/>
        <w:rPr>
          <w:rFonts w:ascii="Century Gothic" w:hAnsi="Century Gothic" w:cs="Century Gothic"/>
          <w:sz w:val="24"/>
          <w:szCs w:val="24"/>
          <w:lang w:val="en-US"/>
        </w:rPr>
      </w:pPr>
    </w:p>
    <w:p w:rsidR="006C366D" w:rsidRDefault="006C366D">
      <w:pPr>
        <w:tabs>
          <w:tab w:val="left" w:pos="6731"/>
        </w:tabs>
        <w:spacing w:line="240" w:lineRule="auto"/>
        <w:ind w:left="-709" w:firstLine="0"/>
        <w:jc w:val="right"/>
        <w:rPr>
          <w:rFonts w:ascii="Century Gothic" w:hAnsi="Century Gothic" w:cs="Century Gothic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>Выполнила:</w:t>
      </w:r>
    </w:p>
    <w:p w:rsidR="006C366D" w:rsidRDefault="006C366D">
      <w:pPr>
        <w:tabs>
          <w:tab w:val="left" w:pos="6731"/>
        </w:tabs>
        <w:spacing w:line="240" w:lineRule="auto"/>
        <w:ind w:left="-709"/>
        <w:jc w:val="right"/>
        <w:rPr>
          <w:rFonts w:ascii="Century Gothic" w:hAnsi="Century Gothic" w:cs="Century Gothic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 xml:space="preserve">студентка </w:t>
      </w:r>
      <w:r>
        <w:rPr>
          <w:rFonts w:ascii="Century Gothic" w:hAnsi="Century Gothic" w:cs="Century Gothic"/>
          <w:sz w:val="24"/>
          <w:szCs w:val="24"/>
          <w:lang w:val="en-US"/>
        </w:rPr>
        <w:t>III</w:t>
      </w:r>
      <w:r>
        <w:rPr>
          <w:rFonts w:ascii="Century Gothic" w:hAnsi="Century Gothic" w:cs="Century Gothic"/>
          <w:sz w:val="24"/>
          <w:szCs w:val="24"/>
        </w:rPr>
        <w:t xml:space="preserve"> курса, 137 группы</w:t>
      </w:r>
    </w:p>
    <w:p w:rsidR="006C366D" w:rsidRDefault="006C366D">
      <w:pPr>
        <w:tabs>
          <w:tab w:val="left" w:pos="6731"/>
        </w:tabs>
        <w:spacing w:line="240" w:lineRule="auto"/>
        <w:ind w:left="-709"/>
        <w:jc w:val="right"/>
        <w:rPr>
          <w:rFonts w:ascii="Century Gothic" w:hAnsi="Century Gothic" w:cs="Century Gothic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>Бушмакина А.В.</w:t>
      </w:r>
    </w:p>
    <w:p w:rsidR="006C366D" w:rsidRDefault="006C366D">
      <w:pPr>
        <w:tabs>
          <w:tab w:val="left" w:pos="8322"/>
        </w:tabs>
        <w:spacing w:line="240" w:lineRule="auto"/>
        <w:ind w:left="-709"/>
        <w:jc w:val="right"/>
        <w:rPr>
          <w:rFonts w:ascii="Century Gothic" w:hAnsi="Century Gothic" w:cs="Century Gothic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>Проверил:</w:t>
      </w:r>
    </w:p>
    <w:p w:rsidR="006C366D" w:rsidRDefault="006C366D">
      <w:pPr>
        <w:tabs>
          <w:tab w:val="left" w:pos="8489"/>
        </w:tabs>
        <w:spacing w:line="240" w:lineRule="auto"/>
        <w:ind w:left="-709"/>
        <w:jc w:val="right"/>
        <w:rPr>
          <w:rFonts w:ascii="Century Gothic" w:hAnsi="Century Gothic" w:cs="Century Gothic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>Лунев С.И.</w:t>
      </w:r>
    </w:p>
    <w:p w:rsidR="006C366D" w:rsidRDefault="006C366D">
      <w:pPr>
        <w:spacing w:line="240" w:lineRule="auto"/>
        <w:ind w:left="-709"/>
        <w:jc w:val="center"/>
        <w:rPr>
          <w:rFonts w:ascii="Century Gothic" w:hAnsi="Century Gothic" w:cs="Century Gothic"/>
        </w:rPr>
      </w:pPr>
    </w:p>
    <w:p w:rsidR="006C366D" w:rsidRDefault="006C366D">
      <w:pPr>
        <w:spacing w:line="240" w:lineRule="auto"/>
        <w:ind w:left="-709"/>
        <w:jc w:val="center"/>
        <w:rPr>
          <w:rFonts w:ascii="Century Gothic" w:hAnsi="Century Gothic" w:cs="Century Gothic"/>
        </w:rPr>
      </w:pPr>
    </w:p>
    <w:p w:rsidR="006C366D" w:rsidRDefault="006C366D">
      <w:pPr>
        <w:spacing w:line="240" w:lineRule="auto"/>
        <w:ind w:left="-709"/>
        <w:jc w:val="center"/>
        <w:rPr>
          <w:rFonts w:ascii="Century Gothic" w:hAnsi="Century Gothic" w:cs="Century Gothic"/>
        </w:rPr>
      </w:pPr>
    </w:p>
    <w:p w:rsidR="006C366D" w:rsidRDefault="006C366D">
      <w:pPr>
        <w:spacing w:line="240" w:lineRule="auto"/>
        <w:ind w:left="-709"/>
        <w:jc w:val="center"/>
        <w:rPr>
          <w:rFonts w:ascii="Century Gothic" w:hAnsi="Century Gothic" w:cs="Century Gothic"/>
        </w:rPr>
      </w:pPr>
    </w:p>
    <w:p w:rsidR="006C366D" w:rsidRDefault="006C366D">
      <w:pPr>
        <w:spacing w:line="240" w:lineRule="auto"/>
        <w:ind w:left="-709"/>
        <w:jc w:val="center"/>
        <w:rPr>
          <w:rFonts w:ascii="Century Gothic" w:hAnsi="Century Gothic" w:cs="Century Gothic"/>
        </w:rPr>
      </w:pPr>
    </w:p>
    <w:p w:rsidR="006C366D" w:rsidRDefault="006C366D">
      <w:pPr>
        <w:spacing w:line="240" w:lineRule="auto"/>
        <w:ind w:left="-709"/>
        <w:jc w:val="center"/>
        <w:rPr>
          <w:rFonts w:ascii="Century Gothic" w:hAnsi="Century Gothic" w:cs="Century Gothic"/>
        </w:rPr>
      </w:pPr>
    </w:p>
    <w:p w:rsidR="006C366D" w:rsidRDefault="006C366D">
      <w:pPr>
        <w:tabs>
          <w:tab w:val="left" w:pos="3617"/>
        </w:tabs>
        <w:spacing w:line="240" w:lineRule="auto"/>
        <w:ind w:left="-709" w:firstLine="0"/>
        <w:jc w:val="center"/>
        <w:rPr>
          <w:rFonts w:ascii="Century Gothic" w:hAnsi="Century Gothic" w:cs="Century Gothic"/>
          <w:lang w:val="en-US"/>
        </w:rPr>
      </w:pPr>
    </w:p>
    <w:p w:rsidR="006C366D" w:rsidRDefault="006C366D">
      <w:pPr>
        <w:tabs>
          <w:tab w:val="left" w:pos="3617"/>
        </w:tabs>
        <w:spacing w:line="240" w:lineRule="auto"/>
        <w:ind w:firstLine="0"/>
        <w:jc w:val="center"/>
        <w:rPr>
          <w:rFonts w:ascii="Century Gothic" w:hAnsi="Century Gothic" w:cs="Century Gothic"/>
          <w:lang w:val="en-US"/>
        </w:rPr>
      </w:pPr>
    </w:p>
    <w:p w:rsidR="006C366D" w:rsidRDefault="006C366D">
      <w:pPr>
        <w:tabs>
          <w:tab w:val="left" w:pos="3617"/>
        </w:tabs>
        <w:spacing w:line="240" w:lineRule="auto"/>
        <w:ind w:firstLine="0"/>
        <w:jc w:val="center"/>
        <w:rPr>
          <w:rFonts w:ascii="Century Gothic" w:hAnsi="Century Gothic" w:cs="Century Gothic"/>
          <w:lang w:val="en-US"/>
        </w:rPr>
      </w:pPr>
    </w:p>
    <w:p w:rsidR="006C366D" w:rsidRDefault="006C366D">
      <w:pPr>
        <w:tabs>
          <w:tab w:val="left" w:pos="3617"/>
        </w:tabs>
        <w:spacing w:line="240" w:lineRule="auto"/>
        <w:ind w:firstLine="0"/>
        <w:jc w:val="center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Киев_2002</w:t>
      </w:r>
    </w:p>
    <w:p w:rsidR="006C366D" w:rsidRDefault="006C366D">
      <w:pPr>
        <w:pStyle w:val="1"/>
        <w:tabs>
          <w:tab w:val="right" w:leader="underscore" w:pos="9639"/>
        </w:tabs>
        <w:spacing w:line="240" w:lineRule="auto"/>
        <w:jc w:val="left"/>
        <w:rPr>
          <w:rFonts w:ascii="Century Gothic" w:hAnsi="Century Gothic" w:cs="Century Gothic"/>
          <w:sz w:val="28"/>
          <w:szCs w:val="28"/>
          <w:u w:val="single"/>
        </w:rPr>
      </w:pPr>
      <w:r>
        <w:rPr>
          <w:rFonts w:ascii="Century Gothic" w:hAnsi="Century Gothic" w:cs="Century Gothic"/>
          <w:sz w:val="28"/>
          <w:szCs w:val="28"/>
          <w:u w:val="single"/>
        </w:rPr>
        <w:t>Введение</w:t>
      </w:r>
      <w:bookmarkEnd w:id="0"/>
    </w:p>
    <w:p w:rsidR="006C366D" w:rsidRDefault="006C366D">
      <w:pPr>
        <w:spacing w:line="240" w:lineRule="auto"/>
        <w:rPr>
          <w:rFonts w:ascii="Century Gothic" w:hAnsi="Century Gothic" w:cs="Century Gothic"/>
        </w:rPr>
      </w:pPr>
    </w:p>
    <w:p w:rsidR="006C366D" w:rsidRDefault="006C366D">
      <w:pPr>
        <w:spacing w:line="240" w:lineRule="auto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 xml:space="preserve">Последнее десятилетие 20-го века было отмечено большими изменениями в экономической и политической жизни стран Центральной и Восточной Европы, включая новые независимые государства, образовавшиеся после распада СССР. Одним из наиболее важных компонентов этих изменений является выход всех стран этого региона из миграционной изоляции и их активное включение в мировой миграционный обмен. </w:t>
      </w:r>
    </w:p>
    <w:p w:rsidR="006C366D" w:rsidRDefault="006C366D">
      <w:pPr>
        <w:spacing w:line="240" w:lineRule="auto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Исследования на уровне микроэкономики выявляют факторы, предопределяющие принятие индивидуальных решений о миграции (разработаны вероятностные, поведенческие модели) или побуждающие работодателей к найму иностранной рабочей силы. Существенными стимулами к эмиграции называют разницу между доходами, имеющимися и ожидаемыми в стране иммиграции, возможность найти надежное рабочее место, а в дальнейшем добиться разрешения на проживание, причем длительность проживания зависит от степени реализации ожиданий.</w:t>
      </w:r>
    </w:p>
    <w:p w:rsidR="006C366D" w:rsidRDefault="006C366D">
      <w:pPr>
        <w:spacing w:line="240" w:lineRule="auto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Работодатели заинтересованы в использовании труда мигрантов не только в связи с расширением производственных возможностей. Иностранная рабочая сила, увеличивая предложение на рынке труда в определенном квалификационном сегменте страны, облегчает выживание предприятий, которые испытывают конкурентное давление, но располагают ограниченным капиталом для инвестиций в рационализацию.</w:t>
      </w:r>
    </w:p>
    <w:p w:rsidR="006C366D" w:rsidRDefault="006C366D">
      <w:pPr>
        <w:spacing w:line="240" w:lineRule="auto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Возможна ориентация на многонациональный характер производства или увеличение капиталоёмкости предприятия с целью повышения производительности труда (что отражается на квалификационной структуре спроса на рабочую силу внутри страны).</w:t>
      </w:r>
    </w:p>
    <w:p w:rsidR="006C366D" w:rsidRDefault="006C366D">
      <w:pPr>
        <w:spacing w:line="240" w:lineRule="auto"/>
        <w:ind w:firstLine="0"/>
        <w:jc w:val="center"/>
        <w:rPr>
          <w:rFonts w:ascii="Century Gothic" w:hAnsi="Century Gothic" w:cs="Century Gothic"/>
        </w:rPr>
      </w:pPr>
      <w:bookmarkStart w:id="1" w:name="_Toc4837620"/>
    </w:p>
    <w:p w:rsidR="006C366D" w:rsidRDefault="006C366D">
      <w:pPr>
        <w:spacing w:line="240" w:lineRule="auto"/>
        <w:ind w:firstLine="0"/>
        <w:jc w:val="center"/>
        <w:rPr>
          <w:rFonts w:ascii="Century Gothic" w:hAnsi="Century Gothic" w:cs="Century Gothic"/>
          <w:lang w:val="en-US"/>
        </w:rPr>
      </w:pPr>
    </w:p>
    <w:p w:rsidR="006C366D" w:rsidRDefault="006C366D">
      <w:pPr>
        <w:spacing w:line="240" w:lineRule="auto"/>
        <w:ind w:firstLine="0"/>
        <w:jc w:val="center"/>
        <w:rPr>
          <w:rFonts w:ascii="Century Gothic" w:hAnsi="Century Gothic" w:cs="Century Gothic"/>
          <w:lang w:val="en-US"/>
        </w:rPr>
      </w:pPr>
    </w:p>
    <w:p w:rsidR="006C366D" w:rsidRDefault="006C366D">
      <w:pPr>
        <w:spacing w:line="240" w:lineRule="auto"/>
        <w:ind w:firstLine="0"/>
        <w:jc w:val="center"/>
        <w:rPr>
          <w:rFonts w:ascii="Century Gothic" w:hAnsi="Century Gothic" w:cs="Century Gothic"/>
          <w:lang w:val="en-US"/>
        </w:rPr>
      </w:pPr>
    </w:p>
    <w:p w:rsidR="006C366D" w:rsidRDefault="006C366D">
      <w:pPr>
        <w:spacing w:line="240" w:lineRule="auto"/>
        <w:ind w:firstLine="0"/>
        <w:jc w:val="center"/>
        <w:rPr>
          <w:rFonts w:ascii="Century Gothic" w:hAnsi="Century Gothic" w:cs="Century Gothic"/>
          <w:lang w:val="en-US"/>
        </w:rPr>
      </w:pPr>
    </w:p>
    <w:p w:rsidR="006C366D" w:rsidRDefault="006C366D">
      <w:pPr>
        <w:spacing w:line="240" w:lineRule="auto"/>
        <w:ind w:firstLine="0"/>
        <w:jc w:val="center"/>
        <w:rPr>
          <w:rFonts w:ascii="Century Gothic" w:hAnsi="Century Gothic" w:cs="Century Gothic"/>
          <w:lang w:val="en-US"/>
        </w:rPr>
      </w:pPr>
    </w:p>
    <w:p w:rsidR="006C366D" w:rsidRDefault="006C366D">
      <w:pPr>
        <w:spacing w:line="240" w:lineRule="auto"/>
        <w:ind w:firstLine="0"/>
        <w:jc w:val="center"/>
        <w:rPr>
          <w:rFonts w:ascii="Century Gothic" w:hAnsi="Century Gothic" w:cs="Century Gothic"/>
          <w:lang w:val="en-US"/>
        </w:rPr>
      </w:pPr>
    </w:p>
    <w:p w:rsidR="006C366D" w:rsidRDefault="006C366D">
      <w:pPr>
        <w:spacing w:line="240" w:lineRule="auto"/>
        <w:ind w:firstLine="0"/>
        <w:jc w:val="center"/>
        <w:rPr>
          <w:rFonts w:ascii="Century Gothic" w:hAnsi="Century Gothic" w:cs="Century Gothic"/>
          <w:lang w:val="en-US"/>
        </w:rPr>
      </w:pPr>
    </w:p>
    <w:p w:rsidR="006C366D" w:rsidRDefault="006C366D">
      <w:pPr>
        <w:spacing w:line="240" w:lineRule="auto"/>
        <w:ind w:firstLine="0"/>
        <w:jc w:val="center"/>
        <w:rPr>
          <w:rFonts w:ascii="Century Gothic" w:hAnsi="Century Gothic" w:cs="Century Gothic"/>
          <w:lang w:val="en-US"/>
        </w:rPr>
      </w:pPr>
    </w:p>
    <w:p w:rsidR="006C366D" w:rsidRDefault="006C366D">
      <w:pPr>
        <w:spacing w:line="240" w:lineRule="auto"/>
        <w:ind w:firstLine="0"/>
        <w:jc w:val="left"/>
        <w:rPr>
          <w:rFonts w:ascii="Century Gothic" w:hAnsi="Century Gothic" w:cs="Century Gothic"/>
          <w:b/>
          <w:bCs/>
          <w:u w:val="single"/>
        </w:rPr>
      </w:pPr>
      <w:r>
        <w:rPr>
          <w:rFonts w:ascii="Century Gothic" w:hAnsi="Century Gothic" w:cs="Century Gothic"/>
          <w:b/>
          <w:bCs/>
          <w:u w:val="single"/>
        </w:rPr>
        <w:t>Сущность и виды международной миграции.</w:t>
      </w:r>
    </w:p>
    <w:p w:rsidR="006C366D" w:rsidRDefault="006C366D">
      <w:pPr>
        <w:pStyle w:val="ad"/>
        <w:rPr>
          <w:rFonts w:ascii="Century Gothic" w:hAnsi="Century Gothic" w:cs="Century Gothic"/>
        </w:rPr>
      </w:pPr>
    </w:p>
    <w:p w:rsidR="006C366D" w:rsidRDefault="006C366D">
      <w:pPr>
        <w:pStyle w:val="ad"/>
        <w:ind w:firstLine="709"/>
        <w:rPr>
          <w:rFonts w:ascii="Century Gothic" w:hAnsi="Century Gothic" w:cs="Century Gothic"/>
        </w:rPr>
      </w:pPr>
      <w:r>
        <w:rPr>
          <w:rFonts w:ascii="Century Gothic" w:hAnsi="Century Gothic" w:cs="Century Gothic"/>
          <w:b/>
          <w:bCs/>
        </w:rPr>
        <w:t>Международная миграция рабочей силы</w:t>
      </w:r>
      <w:r>
        <w:rPr>
          <w:rFonts w:ascii="Century Gothic" w:hAnsi="Century Gothic" w:cs="Century Gothic"/>
        </w:rPr>
        <w:t xml:space="preserve"> - представляет собой процесс перемещения трудовых ресурсов из одной страны в другую с целью трудоустройства на более выгодных условиях, чем в стране происхождения. Помимо экономических мотивов процесс международной миграции обусловливается также соображениями политического, этнического, культурного, семейного и иного характера. Таким образом, международная миграция рабочей силы является частью широкого явления – международной миграции населения, когда данный процесс не связан прямо с трудоустройством. Международная миграция включает две основные составляющие: эмиграцию и иммиграцию. Под </w:t>
      </w:r>
      <w:r>
        <w:rPr>
          <w:rFonts w:ascii="Century Gothic" w:hAnsi="Century Gothic" w:cs="Century Gothic"/>
          <w:b/>
          <w:bCs/>
        </w:rPr>
        <w:t>эмиграцией</w:t>
      </w:r>
      <w:r>
        <w:rPr>
          <w:rFonts w:ascii="Century Gothic" w:hAnsi="Century Gothic" w:cs="Century Gothic"/>
        </w:rPr>
        <w:t xml:space="preserve"> - понимается выезд из страны на постоянное место жительства, под </w:t>
      </w:r>
      <w:r>
        <w:rPr>
          <w:rFonts w:ascii="Century Gothic" w:hAnsi="Century Gothic" w:cs="Century Gothic"/>
          <w:b/>
          <w:bCs/>
        </w:rPr>
        <w:t>иммиграцией</w:t>
      </w:r>
      <w:r>
        <w:rPr>
          <w:rFonts w:ascii="Century Gothic" w:hAnsi="Century Gothic" w:cs="Century Gothic"/>
        </w:rPr>
        <w:t xml:space="preserve"> – въезд, в страну на постоянное место жительства. Международная миграция включает также процесс </w:t>
      </w:r>
      <w:r>
        <w:rPr>
          <w:rFonts w:ascii="Century Gothic" w:hAnsi="Century Gothic" w:cs="Century Gothic"/>
          <w:b/>
          <w:bCs/>
        </w:rPr>
        <w:t>репатриации</w:t>
      </w:r>
      <w:r>
        <w:rPr>
          <w:rFonts w:ascii="Century Gothic" w:hAnsi="Century Gothic" w:cs="Century Gothic"/>
        </w:rPr>
        <w:t xml:space="preserve"> – возвращение в страну происхождения ранее выехавших из нее граждан.</w:t>
      </w:r>
    </w:p>
    <w:p w:rsidR="006C366D" w:rsidRDefault="006C366D">
      <w:pPr>
        <w:pStyle w:val="2"/>
        <w:spacing w:line="240" w:lineRule="auto"/>
        <w:ind w:left="0"/>
        <w:rPr>
          <w:rFonts w:ascii="Century Gothic" w:hAnsi="Century Gothic" w:cs="Century Gothic"/>
          <w:b w:val="0"/>
          <w:bCs w:val="0"/>
          <w:i w:val="0"/>
          <w:iCs w:val="0"/>
          <w:sz w:val="28"/>
          <w:szCs w:val="28"/>
        </w:rPr>
      </w:pPr>
      <w:r>
        <w:rPr>
          <w:rFonts w:ascii="Century Gothic" w:hAnsi="Century Gothic" w:cs="Century Gothic"/>
          <w:b w:val="0"/>
          <w:bCs w:val="0"/>
          <w:i w:val="0"/>
          <w:iCs w:val="0"/>
          <w:sz w:val="28"/>
          <w:szCs w:val="28"/>
        </w:rPr>
        <w:t xml:space="preserve">   </w:t>
      </w:r>
      <w:r>
        <w:rPr>
          <w:rFonts w:ascii="Century Gothic" w:hAnsi="Century Gothic" w:cs="Century Gothic"/>
          <w:i w:val="0"/>
          <w:iCs w:val="0"/>
          <w:sz w:val="28"/>
          <w:szCs w:val="28"/>
        </w:rPr>
        <w:t>1)</w:t>
      </w:r>
      <w:r>
        <w:rPr>
          <w:rFonts w:ascii="Century Gothic" w:hAnsi="Century Gothic" w:cs="Century Gothic"/>
          <w:b w:val="0"/>
          <w:bCs w:val="0"/>
          <w:i w:val="0"/>
          <w:iCs w:val="0"/>
          <w:sz w:val="28"/>
          <w:szCs w:val="28"/>
        </w:rPr>
        <w:t xml:space="preserve"> - В зависимости от географических направлений различают: </w:t>
      </w:r>
      <w:r>
        <w:rPr>
          <w:rFonts w:ascii="Century Gothic" w:hAnsi="Century Gothic" w:cs="Century Gothic"/>
          <w:i w:val="0"/>
          <w:iCs w:val="0"/>
          <w:sz w:val="28"/>
          <w:szCs w:val="28"/>
        </w:rPr>
        <w:t>внешнюю</w:t>
      </w:r>
      <w:r>
        <w:rPr>
          <w:rFonts w:ascii="Century Gothic" w:hAnsi="Century Gothic" w:cs="Century Gothic"/>
          <w:b w:val="0"/>
          <w:bCs w:val="0"/>
          <w:i w:val="0"/>
          <w:iCs w:val="0"/>
          <w:sz w:val="28"/>
          <w:szCs w:val="28"/>
        </w:rPr>
        <w:t xml:space="preserve"> и </w:t>
      </w:r>
      <w:r>
        <w:rPr>
          <w:rFonts w:ascii="Century Gothic" w:hAnsi="Century Gothic" w:cs="Century Gothic"/>
          <w:i w:val="0"/>
          <w:iCs w:val="0"/>
          <w:sz w:val="28"/>
          <w:szCs w:val="28"/>
        </w:rPr>
        <w:t>внутреннюю</w:t>
      </w:r>
      <w:r>
        <w:rPr>
          <w:rFonts w:ascii="Century Gothic" w:hAnsi="Century Gothic" w:cs="Century Gothic"/>
          <w:b w:val="0"/>
          <w:bCs w:val="0"/>
          <w:i w:val="0"/>
          <w:iCs w:val="0"/>
          <w:sz w:val="28"/>
          <w:szCs w:val="28"/>
        </w:rPr>
        <w:t xml:space="preserve"> миграцию населения. Под внутренней понимается перемещение населения между городами и регионами одной страны, а под внешней – из одной страны в другую. В свою очередь внешняя миграция делится на:</w:t>
      </w:r>
    </w:p>
    <w:p w:rsidR="006C366D" w:rsidRDefault="006C366D">
      <w:pPr>
        <w:pStyle w:val="a3"/>
        <w:numPr>
          <w:ilvl w:val="0"/>
          <w:numId w:val="7"/>
        </w:numPr>
        <w:tabs>
          <w:tab w:val="clear" w:pos="1571"/>
          <w:tab w:val="clear" w:pos="4153"/>
          <w:tab w:val="clear" w:pos="8306"/>
          <w:tab w:val="num" w:pos="709"/>
        </w:tabs>
        <w:spacing w:line="240" w:lineRule="auto"/>
        <w:ind w:left="993" w:hanging="709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межконтинентальную;</w:t>
      </w:r>
    </w:p>
    <w:p w:rsidR="006C366D" w:rsidRDefault="006C366D">
      <w:pPr>
        <w:numPr>
          <w:ilvl w:val="0"/>
          <w:numId w:val="7"/>
        </w:numPr>
        <w:tabs>
          <w:tab w:val="clear" w:pos="1571"/>
          <w:tab w:val="num" w:pos="709"/>
        </w:tabs>
        <w:spacing w:line="240" w:lineRule="auto"/>
        <w:ind w:left="993" w:hanging="709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внутриконтинентальную.</w:t>
      </w:r>
    </w:p>
    <w:p w:rsidR="006C366D" w:rsidRDefault="006C366D">
      <w:pPr>
        <w:pStyle w:val="22"/>
        <w:rPr>
          <w:rFonts w:ascii="Century Gothic" w:hAnsi="Century Gothic" w:cs="Century Gothic"/>
          <w:u w:val="none"/>
        </w:rPr>
      </w:pPr>
      <w:r>
        <w:rPr>
          <w:rFonts w:ascii="Century Gothic" w:hAnsi="Century Gothic" w:cs="Century Gothic"/>
          <w:u w:val="none"/>
        </w:rPr>
        <w:t xml:space="preserve">    </w:t>
      </w:r>
      <w:r>
        <w:rPr>
          <w:rFonts w:ascii="Century Gothic" w:hAnsi="Century Gothic" w:cs="Century Gothic"/>
          <w:b/>
          <w:bCs/>
          <w:u w:val="none"/>
        </w:rPr>
        <w:t>2)</w:t>
      </w:r>
      <w:r>
        <w:rPr>
          <w:rFonts w:ascii="Century Gothic" w:hAnsi="Century Gothic" w:cs="Century Gothic"/>
          <w:u w:val="none"/>
        </w:rPr>
        <w:t xml:space="preserve"> - В зависимости от долговременности каждого перемещения, миграция населения делится на:</w:t>
      </w:r>
    </w:p>
    <w:p w:rsidR="006C366D" w:rsidRDefault="006C366D">
      <w:pPr>
        <w:numPr>
          <w:ilvl w:val="0"/>
          <w:numId w:val="9"/>
        </w:numPr>
        <w:tabs>
          <w:tab w:val="clear" w:pos="720"/>
          <w:tab w:val="num" w:pos="709"/>
        </w:tabs>
        <w:spacing w:line="240" w:lineRule="auto"/>
        <w:ind w:hanging="436"/>
        <w:rPr>
          <w:rFonts w:ascii="Century Gothic" w:hAnsi="Century Gothic" w:cs="Century Gothic"/>
        </w:rPr>
      </w:pPr>
      <w:r>
        <w:rPr>
          <w:rFonts w:ascii="Century Gothic" w:hAnsi="Century Gothic" w:cs="Century Gothic"/>
          <w:b/>
          <w:bCs/>
        </w:rPr>
        <w:t>постоянную</w:t>
      </w:r>
      <w:r>
        <w:rPr>
          <w:rFonts w:ascii="Century Gothic" w:hAnsi="Century Gothic" w:cs="Century Gothic"/>
        </w:rPr>
        <w:t>, или безвозвратную( имеет характер межконтинентальная                       миграция и миграция из села в город);</w:t>
      </w:r>
    </w:p>
    <w:p w:rsidR="006C366D" w:rsidRDefault="006C366D">
      <w:pPr>
        <w:numPr>
          <w:ilvl w:val="0"/>
          <w:numId w:val="9"/>
        </w:numPr>
        <w:spacing w:line="240" w:lineRule="auto"/>
        <w:ind w:hanging="436"/>
        <w:rPr>
          <w:rFonts w:ascii="Century Gothic" w:hAnsi="Century Gothic" w:cs="Century Gothic"/>
        </w:rPr>
      </w:pPr>
      <w:r>
        <w:rPr>
          <w:rFonts w:ascii="Century Gothic" w:hAnsi="Century Gothic" w:cs="Century Gothic"/>
          <w:b/>
          <w:bCs/>
        </w:rPr>
        <w:t>временную</w:t>
      </w:r>
      <w:r>
        <w:rPr>
          <w:rFonts w:ascii="Century Gothic" w:hAnsi="Century Gothic" w:cs="Century Gothic"/>
        </w:rPr>
        <w:t>, как правило, внутриконтинентальную;</w:t>
      </w:r>
    </w:p>
    <w:p w:rsidR="006C366D" w:rsidRDefault="006C366D">
      <w:pPr>
        <w:numPr>
          <w:ilvl w:val="0"/>
          <w:numId w:val="9"/>
        </w:numPr>
        <w:spacing w:line="240" w:lineRule="auto"/>
        <w:ind w:hanging="436"/>
        <w:rPr>
          <w:rFonts w:ascii="Century Gothic" w:hAnsi="Century Gothic" w:cs="Century Gothic"/>
        </w:rPr>
      </w:pPr>
      <w:r>
        <w:rPr>
          <w:rFonts w:ascii="Century Gothic" w:hAnsi="Century Gothic" w:cs="Century Gothic"/>
          <w:b/>
          <w:bCs/>
        </w:rPr>
        <w:t xml:space="preserve">сезонную, </w:t>
      </w:r>
      <w:r>
        <w:rPr>
          <w:rFonts w:ascii="Century Gothic" w:hAnsi="Century Gothic" w:cs="Century Gothic"/>
        </w:rPr>
        <w:t>связанную с ежегодными поездками на зароботки или кочевники;</w:t>
      </w:r>
    </w:p>
    <w:p w:rsidR="006C366D" w:rsidRDefault="006C366D">
      <w:pPr>
        <w:numPr>
          <w:ilvl w:val="0"/>
          <w:numId w:val="9"/>
        </w:numPr>
        <w:spacing w:line="240" w:lineRule="auto"/>
        <w:ind w:hanging="436"/>
        <w:rPr>
          <w:rFonts w:ascii="Century Gothic" w:hAnsi="Century Gothic" w:cs="Century Gothic"/>
          <w:u w:val="single"/>
        </w:rPr>
      </w:pPr>
      <w:r>
        <w:rPr>
          <w:rFonts w:ascii="Century Gothic" w:hAnsi="Century Gothic" w:cs="Century Gothic"/>
          <w:b/>
          <w:bCs/>
        </w:rPr>
        <w:t xml:space="preserve">маятниковую, </w:t>
      </w:r>
      <w:r>
        <w:rPr>
          <w:rFonts w:ascii="Century Gothic" w:hAnsi="Century Gothic" w:cs="Century Gothic"/>
        </w:rPr>
        <w:t>предусматривающую ежедневные поездки к месту роботы за пределы своего населенного пункта.</w:t>
      </w:r>
    </w:p>
    <w:p w:rsidR="006C366D" w:rsidRDefault="006C366D">
      <w:pPr>
        <w:spacing w:line="240" w:lineRule="auto"/>
        <w:ind w:left="284" w:firstLine="0"/>
        <w:rPr>
          <w:rFonts w:ascii="Century Gothic" w:hAnsi="Century Gothic" w:cs="Century Gothic"/>
          <w:b/>
          <w:bCs/>
        </w:rPr>
      </w:pPr>
      <w:r>
        <w:rPr>
          <w:rFonts w:ascii="Century Gothic" w:hAnsi="Century Gothic" w:cs="Century Gothic"/>
          <w:b/>
          <w:bCs/>
        </w:rPr>
        <w:t>3)</w:t>
      </w:r>
      <w:r>
        <w:rPr>
          <w:rFonts w:ascii="Century Gothic" w:hAnsi="Century Gothic" w:cs="Century Gothic"/>
        </w:rPr>
        <w:t xml:space="preserve"> - В зависимости от правового статуса миграция может быть</w:t>
      </w:r>
      <w:r>
        <w:rPr>
          <w:rFonts w:ascii="Century Gothic" w:hAnsi="Century Gothic" w:cs="Century Gothic"/>
          <w:u w:val="single"/>
        </w:rPr>
        <w:t xml:space="preserve"> </w:t>
      </w:r>
      <w:r>
        <w:rPr>
          <w:rFonts w:ascii="Century Gothic" w:hAnsi="Century Gothic" w:cs="Century Gothic"/>
        </w:rPr>
        <w:t xml:space="preserve">– </w:t>
      </w:r>
      <w:r>
        <w:rPr>
          <w:rFonts w:ascii="Century Gothic" w:hAnsi="Century Gothic" w:cs="Century Gothic"/>
          <w:b/>
          <w:bCs/>
        </w:rPr>
        <w:t>легальной и нелегальной.</w:t>
      </w:r>
    </w:p>
    <w:p w:rsidR="006C366D" w:rsidRDefault="006C366D">
      <w:pPr>
        <w:spacing w:line="240" w:lineRule="auto"/>
        <w:ind w:left="284" w:firstLine="0"/>
        <w:rPr>
          <w:rFonts w:ascii="Century Gothic" w:hAnsi="Century Gothic" w:cs="Century Gothic"/>
        </w:rPr>
      </w:pPr>
      <w:r>
        <w:rPr>
          <w:rFonts w:ascii="Century Gothic" w:hAnsi="Century Gothic" w:cs="Century Gothic"/>
          <w:i/>
          <w:iCs/>
          <w:u w:val="single"/>
        </w:rPr>
        <w:t>Нелегальные мигранты</w:t>
      </w:r>
      <w:r>
        <w:rPr>
          <w:rFonts w:ascii="Century Gothic" w:hAnsi="Century Gothic" w:cs="Century Gothic"/>
        </w:rPr>
        <w:t xml:space="preserve"> – это лица, которые в поисках роботы въезжают в страну нелегально или прибывают в неё на законных основаниях и нелегально трудоустраиваются.</w:t>
      </w:r>
    </w:p>
    <w:p w:rsidR="006C366D" w:rsidRDefault="006C366D">
      <w:pPr>
        <w:pStyle w:val="2"/>
        <w:spacing w:line="240" w:lineRule="auto"/>
        <w:ind w:left="0"/>
        <w:jc w:val="both"/>
        <w:rPr>
          <w:rFonts w:ascii="Century Gothic" w:hAnsi="Century Gothic" w:cs="Century Gothic"/>
          <w:b w:val="0"/>
          <w:bCs w:val="0"/>
          <w:i w:val="0"/>
          <w:iCs w:val="0"/>
          <w:sz w:val="28"/>
          <w:szCs w:val="28"/>
        </w:rPr>
      </w:pPr>
      <w:r>
        <w:rPr>
          <w:rFonts w:ascii="Century Gothic" w:hAnsi="Century Gothic" w:cs="Century Gothic"/>
          <w:b w:val="0"/>
          <w:bCs w:val="0"/>
          <w:i w:val="0"/>
          <w:iCs w:val="0"/>
          <w:sz w:val="28"/>
          <w:szCs w:val="28"/>
          <w:u w:val="single"/>
        </w:rPr>
        <w:t xml:space="preserve"> Международные мигранты подразделяются на пять основных категорий</w:t>
      </w:r>
      <w:r>
        <w:rPr>
          <w:rFonts w:ascii="Century Gothic" w:hAnsi="Century Gothic" w:cs="Century Gothic"/>
          <w:b w:val="0"/>
          <w:bCs w:val="0"/>
          <w:i w:val="0"/>
          <w:iCs w:val="0"/>
          <w:sz w:val="28"/>
          <w:szCs w:val="28"/>
        </w:rPr>
        <w:t>:</w:t>
      </w:r>
    </w:p>
    <w:p w:rsidR="006C366D" w:rsidRDefault="006C366D">
      <w:pPr>
        <w:pStyle w:val="22"/>
        <w:ind w:firstLine="142"/>
        <w:rPr>
          <w:rFonts w:ascii="Century Gothic" w:hAnsi="Century Gothic" w:cs="Century Gothic"/>
          <w:u w:val="none"/>
        </w:rPr>
      </w:pPr>
      <w:r>
        <w:rPr>
          <w:rFonts w:ascii="Century Gothic" w:hAnsi="Century Gothic" w:cs="Century Gothic"/>
          <w:u w:val="none"/>
        </w:rPr>
        <w:t xml:space="preserve">- </w:t>
      </w:r>
      <w:r>
        <w:rPr>
          <w:rFonts w:ascii="Century Gothic" w:hAnsi="Century Gothic" w:cs="Century Gothic"/>
          <w:b/>
          <w:bCs/>
          <w:u w:val="none"/>
        </w:rPr>
        <w:t>иммигранты и не иммигранты</w:t>
      </w:r>
      <w:r>
        <w:rPr>
          <w:rFonts w:ascii="Century Gothic" w:hAnsi="Century Gothic" w:cs="Century Gothic"/>
          <w:u w:val="none"/>
        </w:rPr>
        <w:t>, легально допущенные в страну. Для стран, которые традиционно принимают иммигрантов, 80 – 90-е гг. были периодом высокого уровня иммиграции; - работники-мигранты по контракту. Их к концу 90-х гг. в мире насчитывалось более 25 млн. человек. Многие страны зависят от иностранной рабочей силы. Договоренность о ее контактировании заключаются между странами с избыточной рабочей силой в некоторых районах Азии и, например, рядом стран Ближнего Востока, Европы;</w:t>
      </w:r>
    </w:p>
    <w:p w:rsidR="006C366D" w:rsidRDefault="006C366D">
      <w:pPr>
        <w:pStyle w:val="22"/>
        <w:ind w:firstLine="142"/>
        <w:rPr>
          <w:rFonts w:ascii="Century Gothic" w:hAnsi="Century Gothic" w:cs="Century Gothic"/>
          <w:u w:val="none"/>
        </w:rPr>
      </w:pPr>
      <w:r>
        <w:rPr>
          <w:rFonts w:ascii="Century Gothic" w:hAnsi="Century Gothic" w:cs="Century Gothic"/>
          <w:u w:val="none"/>
        </w:rPr>
        <w:t xml:space="preserve">- </w:t>
      </w:r>
      <w:r>
        <w:rPr>
          <w:rFonts w:ascii="Century Gothic" w:hAnsi="Century Gothic" w:cs="Century Gothic"/>
          <w:b/>
          <w:bCs/>
          <w:u w:val="none"/>
        </w:rPr>
        <w:t>нелегальные иммигранты</w:t>
      </w:r>
      <w:r>
        <w:rPr>
          <w:rFonts w:ascii="Century Gothic" w:hAnsi="Century Gothic" w:cs="Century Gothic"/>
          <w:u w:val="none"/>
        </w:rPr>
        <w:t>. Их число в конце 90-х гг. превышало 30 млн. человек. Почти все индустриальные страны имеют у себя нелегальных иммигрантов. Часть из них проникают через границу, другие остаются в чужой стране с просроченными визами; обычно они замещают рабочие места, находящиеся на низшей ступени трудовой иерархии;</w:t>
      </w:r>
    </w:p>
    <w:p w:rsidR="006C366D" w:rsidRDefault="006C366D">
      <w:pPr>
        <w:pStyle w:val="22"/>
        <w:ind w:firstLine="142"/>
        <w:rPr>
          <w:rFonts w:ascii="Century Gothic" w:hAnsi="Century Gothic" w:cs="Century Gothic"/>
          <w:u w:val="none"/>
        </w:rPr>
      </w:pPr>
      <w:r>
        <w:rPr>
          <w:rFonts w:ascii="Century Gothic" w:hAnsi="Century Gothic" w:cs="Century Gothic"/>
          <w:u w:val="none"/>
        </w:rPr>
        <w:t xml:space="preserve">- </w:t>
      </w:r>
      <w:r>
        <w:rPr>
          <w:rFonts w:ascii="Century Gothic" w:hAnsi="Century Gothic" w:cs="Century Gothic"/>
          <w:b/>
          <w:bCs/>
          <w:u w:val="none"/>
        </w:rPr>
        <w:t>лица, просящие убежища</w:t>
      </w:r>
      <w:r>
        <w:rPr>
          <w:rFonts w:ascii="Century Gothic" w:hAnsi="Century Gothic" w:cs="Century Gothic"/>
          <w:u w:val="none"/>
        </w:rPr>
        <w:t>. До 80-х гг. численность этой категории мигрантов была крайне незначительна, затем она заметно увеличилась – до более 1 млн. человек к концу 90-х гг. Просьбы об убежище люди направляют по политическим мотивам, а также в силу тяжелого экономического положения в своих странах;</w:t>
      </w:r>
    </w:p>
    <w:p w:rsidR="006C366D" w:rsidRDefault="006C366D">
      <w:pPr>
        <w:pStyle w:val="22"/>
        <w:numPr>
          <w:ilvl w:val="1"/>
          <w:numId w:val="7"/>
        </w:numPr>
        <w:tabs>
          <w:tab w:val="clear" w:pos="2291"/>
          <w:tab w:val="num" w:pos="142"/>
        </w:tabs>
        <w:ind w:left="142" w:hanging="284"/>
        <w:rPr>
          <w:rFonts w:ascii="Century Gothic" w:hAnsi="Century Gothic" w:cs="Century Gothic"/>
        </w:rPr>
      </w:pPr>
      <w:r>
        <w:rPr>
          <w:rFonts w:ascii="Century Gothic" w:hAnsi="Century Gothic" w:cs="Century Gothic"/>
          <w:b/>
          <w:bCs/>
          <w:u w:val="none"/>
        </w:rPr>
        <w:t>беженцы</w:t>
      </w:r>
      <w:r>
        <w:rPr>
          <w:rFonts w:ascii="Century Gothic" w:hAnsi="Century Gothic" w:cs="Century Gothic"/>
          <w:u w:val="none"/>
        </w:rPr>
        <w:t>. Поданным ООН, в мире на конец 90-х гг. насчитывается более 22 млн. беженцев (из них около 4 млн. возвратившихся в места прежнего проживания, но находящиеся под патронажем ООН). Большинство сегодняшних беженцев живут в специальных лагерях. Находящихся под опекой ООН или частных агентств. По оценкам, лишь менее 1% беженцев расселяются в развитых странах Запада.</w:t>
      </w:r>
      <w:bookmarkStart w:id="2" w:name="_Toc4837623"/>
      <w:bookmarkEnd w:id="1"/>
    </w:p>
    <w:p w:rsidR="006C366D" w:rsidRDefault="006C366D">
      <w:pPr>
        <w:pStyle w:val="22"/>
        <w:ind w:left="1931"/>
        <w:rPr>
          <w:rFonts w:ascii="Century Gothic" w:hAnsi="Century Gothic" w:cs="Century Gothic"/>
        </w:rPr>
      </w:pPr>
    </w:p>
    <w:p w:rsidR="006C366D" w:rsidRDefault="006C366D">
      <w:pPr>
        <w:pStyle w:val="22"/>
        <w:ind w:left="142"/>
        <w:rPr>
          <w:rFonts w:ascii="Century Gothic" w:hAnsi="Century Gothic" w:cs="Century Gothic"/>
          <w:b/>
          <w:bCs/>
        </w:rPr>
      </w:pPr>
    </w:p>
    <w:p w:rsidR="006C366D" w:rsidRDefault="006C366D">
      <w:pPr>
        <w:pStyle w:val="22"/>
        <w:rPr>
          <w:rFonts w:ascii="Century Gothic" w:hAnsi="Century Gothic" w:cs="Century Gothic"/>
          <w:b/>
          <w:bCs/>
        </w:rPr>
      </w:pPr>
      <w:r>
        <w:rPr>
          <w:rFonts w:ascii="Century Gothic" w:hAnsi="Century Gothic" w:cs="Century Gothic"/>
          <w:b/>
          <w:bCs/>
        </w:rPr>
        <w:t>Теория интеграции.</w:t>
      </w:r>
    </w:p>
    <w:p w:rsidR="006C366D" w:rsidRDefault="006C366D">
      <w:pPr>
        <w:pStyle w:val="22"/>
        <w:ind w:left="142"/>
        <w:rPr>
          <w:rFonts w:ascii="Century Gothic" w:hAnsi="Century Gothic" w:cs="Century Gothic"/>
          <w:u w:val="none"/>
        </w:rPr>
      </w:pPr>
    </w:p>
    <w:p w:rsidR="006C366D" w:rsidRDefault="006C366D">
      <w:pPr>
        <w:pStyle w:val="22"/>
        <w:ind w:left="142"/>
        <w:rPr>
          <w:rFonts w:ascii="Century Gothic" w:hAnsi="Century Gothic" w:cs="Century Gothic"/>
          <w:u w:val="none"/>
        </w:rPr>
      </w:pPr>
      <w:r>
        <w:rPr>
          <w:rFonts w:ascii="Century Gothic" w:hAnsi="Century Gothic" w:cs="Century Gothic"/>
          <w:u w:val="none"/>
        </w:rPr>
        <w:t xml:space="preserve">Теоретически миграция рабочей силы имеет место до тех пор, пока в интеграционном пространстве не выравнится предельная производительность труда и, таким образом, заработная плата. Предпосылка тому – отсутствие преград для миграции, взаимное признание уровня квалификации и условие, что культурные и языковые различия не являются решающими. Значение социально-культурной принадлежности в принятии решения о миграции слабо учитывается в этой теории, хотя, как свидетельствуют различные миграционные модели, применяющиеся к гражданам ЕС, при определении размеров и направлений миграционных потоков очень важны традиционные отношения (историческое измерение). Вопреки положениям теории интеграции движение капитала и товаров стало более важным инструментом сглаживания различий в уровне заработной платы и производительности, чем трудовая миграция. До создания общего рынка 44% иностранной рабочей силы составляли выходцы из региона, образовавшего позднее </w:t>
      </w:r>
      <w:r>
        <w:rPr>
          <w:rFonts w:ascii="Century Gothic" w:hAnsi="Century Gothic" w:cs="Century Gothic"/>
          <w:u w:val="none"/>
          <w:lang w:val="uk-UA"/>
        </w:rPr>
        <w:t>“</w:t>
      </w:r>
      <w:r>
        <w:rPr>
          <w:rFonts w:ascii="Century Gothic" w:hAnsi="Century Gothic" w:cs="Century Gothic"/>
          <w:u w:val="none"/>
        </w:rPr>
        <w:t>шестерку” ЕЭС. В “девятке” ЕЭС  в 1980г. около 47%всей иностранной рабочей силы были выходцами из ЕЭС. Эта доля уменьшилась в конце 80-х – начале 90-х годов. В 1995г. лишь 42% из примерно 6,5 млн. иностранных рабочих, занятых в 15</w:t>
      </w:r>
      <w:r>
        <w:rPr>
          <w:rFonts w:ascii="Century Gothic" w:hAnsi="Century Gothic" w:cs="Century Gothic"/>
          <w:b/>
          <w:bCs/>
          <w:u w:val="none"/>
        </w:rPr>
        <w:t xml:space="preserve"> </w:t>
      </w:r>
      <w:r>
        <w:rPr>
          <w:rFonts w:ascii="Century Gothic" w:hAnsi="Century Gothic" w:cs="Century Gothic"/>
          <w:u w:val="none"/>
        </w:rPr>
        <w:t>странах  ЕС, были выходцами из регионов ЕС.</w:t>
      </w:r>
    </w:p>
    <w:p w:rsidR="006C366D" w:rsidRDefault="006C366D">
      <w:pPr>
        <w:pStyle w:val="22"/>
        <w:ind w:left="142"/>
        <w:rPr>
          <w:rFonts w:ascii="Century Gothic" w:hAnsi="Century Gothic" w:cs="Century Gothic"/>
        </w:rPr>
      </w:pPr>
      <w:r>
        <w:rPr>
          <w:rFonts w:ascii="Century Gothic" w:hAnsi="Century Gothic" w:cs="Century Gothic"/>
          <w:u w:val="none"/>
        </w:rPr>
        <w:t>Степень взаимоналожения рынков труда в ЕС (доля граждан стран – членов ЕС в общей численности занятых) очень низка и составляет в настоящее время около 2% (в Германии – 1,8%; Франции – 2,4%; Великобритании – 1,6%; Австрии – 0,9%). Доля всей иностранной рабочей силы  в общей численности занятых в ЕС в 1996г. составляла 5%. Подобная динамика соответствует намерениям ЕС: создание внутреннего рынка ЕС не должно увязываться с резким ростом трудовой миграции. Выравнивание межрегиональных  различий в доходах и заработной плате должно в первую очередь осуществляться через потоки капитала и товаров и лишь затем через трудовую миграцию.</w:t>
      </w:r>
      <w:r>
        <w:rPr>
          <w:rFonts w:ascii="Century Gothic" w:hAnsi="Century Gothic" w:cs="Century Gothic"/>
        </w:rPr>
        <w:t xml:space="preserve"> </w:t>
      </w:r>
    </w:p>
    <w:p w:rsidR="006C366D" w:rsidRDefault="006C366D">
      <w:pPr>
        <w:pStyle w:val="1"/>
        <w:spacing w:line="240" w:lineRule="auto"/>
        <w:jc w:val="left"/>
        <w:rPr>
          <w:rFonts w:ascii="Century Gothic" w:hAnsi="Century Gothic" w:cs="Century Gothic"/>
          <w:sz w:val="28"/>
          <w:szCs w:val="28"/>
          <w:u w:val="single"/>
        </w:rPr>
      </w:pPr>
    </w:p>
    <w:p w:rsidR="006C366D" w:rsidRDefault="006C366D">
      <w:pPr>
        <w:pStyle w:val="1"/>
        <w:spacing w:line="240" w:lineRule="auto"/>
        <w:jc w:val="left"/>
        <w:rPr>
          <w:rFonts w:ascii="Century Gothic" w:hAnsi="Century Gothic" w:cs="Century Gothic"/>
          <w:sz w:val="28"/>
          <w:szCs w:val="28"/>
          <w:u w:val="single"/>
        </w:rPr>
      </w:pPr>
      <w:r>
        <w:rPr>
          <w:rFonts w:ascii="Century Gothic" w:hAnsi="Century Gothic" w:cs="Century Gothic"/>
          <w:sz w:val="28"/>
          <w:szCs w:val="28"/>
          <w:u w:val="single"/>
        </w:rPr>
        <w:t>Выводы из практики</w:t>
      </w:r>
      <w:bookmarkEnd w:id="2"/>
    </w:p>
    <w:p w:rsidR="006C366D" w:rsidRDefault="006C366D">
      <w:pPr>
        <w:spacing w:line="240" w:lineRule="auto"/>
        <w:ind w:firstLine="0"/>
        <w:rPr>
          <w:rFonts w:ascii="Century Gothic" w:hAnsi="Century Gothic" w:cs="Century Gothic"/>
        </w:rPr>
      </w:pPr>
    </w:p>
    <w:p w:rsidR="006C366D" w:rsidRDefault="006C366D">
      <w:pPr>
        <w:spacing w:line="240" w:lineRule="auto"/>
        <w:ind w:firstLine="0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В 60-е – начале 70-х годов использование иностранной рабочей силы было важной составляющей экономического развития. В этот период число работающих в “шестерке” ЕЭС иностранцев возросло примерно с 1,8 млн. до почти 4,4 млн. человек.</w:t>
      </w:r>
    </w:p>
    <w:p w:rsidR="006C366D" w:rsidRDefault="006C366D">
      <w:pPr>
        <w:spacing w:line="240" w:lineRule="auto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Большая часть иммиграции стала следствием целенаправленной вербовки рабочей силы, проводившейся в странах иммиграции. Вербовка (как стимул иммиграции) важна в том случае, если между страной эмиграции и страной иммиграции отсутствуют традиционные миграционные отношения.</w:t>
      </w:r>
    </w:p>
    <w:p w:rsidR="006C366D" w:rsidRDefault="006C366D">
      <w:pPr>
        <w:spacing w:line="240" w:lineRule="auto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Растущая глобализация производства в 70-80-е годы, а также рост третичного сектора сказались на притоке рабочей силы. С 1975 по 1995 гг. количество трудовых мигрантов в странах – учредителях ЕЭС увеличилось примерно на 400 тыс. человек. Доля наемных работников из стран “шестерки” в общей численности всех иностранных рабочих сократилась с 48 до 42%.</w:t>
      </w:r>
    </w:p>
    <w:p w:rsidR="006C366D" w:rsidRDefault="006C366D">
      <w:pPr>
        <w:spacing w:line="240" w:lineRule="auto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В настоящее время в 15 странах – членах ЕС занято около 6,5 млн. иностранцев.</w:t>
      </w:r>
    </w:p>
    <w:p w:rsidR="006C366D" w:rsidRDefault="006C366D">
      <w:pPr>
        <w:spacing w:line="240" w:lineRule="auto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В 80-е годы сформировалось новое ядро, составившее экономическую основу занятости – высокотехнологичные отрасли, такие, как сфера высокоспециализированных услуг (центральные отделения концернов с отделами планирования, организации и контроля географически дифференцированной децентрализированной производственной системы, консультанты по финансам, технические консультанты и пр.). Подобная реструктуризация сопровождалась определенной поляризацией спроса на рабочую силу.</w:t>
      </w:r>
    </w:p>
    <w:p w:rsidR="006C366D" w:rsidRDefault="006C366D">
      <w:pPr>
        <w:spacing w:line="240" w:lineRule="auto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Помимо растущего спроса на рабочую силу в сферах высокой технологии и услуг, ориентированных на производство, возникали виды низкооплачиваемого труда (услуги по уходу, курьерские, садовников, химчистки, службы безопасности и т.д.), на которые возрастает спрос со стороны рабочей силы с высоким уровнем дохода. В ходе ликвидации экономического отставания стран сократилось предложение дешевой и мобильной рабочей силы. В этом смысле приобрели значимость страны ЦВЕ, равно как и новые индустриальные страны Азии.</w:t>
      </w:r>
    </w:p>
    <w:p w:rsidR="006C366D" w:rsidRDefault="006C366D">
      <w:pPr>
        <w:spacing w:line="240" w:lineRule="auto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Профессиональная и квалификационная структура трудовой миграции определенной страны дает представление, о ее положении в международном разделении труда. Все больше применяются стратегии найма в масштабах Европы, прежде всего в сфере менеджмента, финансов и страхового дела, а также в технических профессиях (инженеры).</w:t>
      </w:r>
    </w:p>
    <w:p w:rsidR="006C366D" w:rsidRDefault="006C366D">
      <w:pPr>
        <w:spacing w:line="240" w:lineRule="auto"/>
        <w:ind w:firstLine="0"/>
        <w:rPr>
          <w:rFonts w:ascii="Century Gothic" w:hAnsi="Century Gothic" w:cs="Century Gothic"/>
        </w:rPr>
      </w:pPr>
    </w:p>
    <w:p w:rsidR="006C366D" w:rsidRDefault="006C366D">
      <w:pPr>
        <w:spacing w:line="240" w:lineRule="auto"/>
        <w:rPr>
          <w:rFonts w:ascii="Century Gothic" w:hAnsi="Century Gothic" w:cs="Century Gothic"/>
        </w:rPr>
      </w:pPr>
    </w:p>
    <w:p w:rsidR="006C366D" w:rsidRDefault="006C366D">
      <w:pPr>
        <w:spacing w:line="240" w:lineRule="auto"/>
        <w:rPr>
          <w:rFonts w:ascii="Century Gothic" w:hAnsi="Century Gothic" w:cs="Century Gothic"/>
        </w:rPr>
      </w:pPr>
    </w:p>
    <w:p w:rsidR="006C366D" w:rsidRDefault="006C366D">
      <w:pPr>
        <w:spacing w:line="240" w:lineRule="auto"/>
        <w:rPr>
          <w:rFonts w:ascii="Century Gothic" w:hAnsi="Century Gothic" w:cs="Century Gothic"/>
        </w:rPr>
      </w:pPr>
    </w:p>
    <w:p w:rsidR="006C366D" w:rsidRDefault="006C366D">
      <w:pPr>
        <w:spacing w:line="240" w:lineRule="auto"/>
        <w:rPr>
          <w:rFonts w:ascii="Century Gothic" w:hAnsi="Century Gothic" w:cs="Century Gothic"/>
        </w:rPr>
      </w:pPr>
    </w:p>
    <w:p w:rsidR="006C366D" w:rsidRDefault="006C366D">
      <w:pPr>
        <w:spacing w:line="240" w:lineRule="auto"/>
        <w:rPr>
          <w:rFonts w:ascii="Century Gothic" w:hAnsi="Century Gothic" w:cs="Century Gothic"/>
        </w:rPr>
      </w:pPr>
      <w:bookmarkStart w:id="3" w:name="_GoBack"/>
      <w:bookmarkEnd w:id="3"/>
    </w:p>
    <w:sectPr w:rsidR="006C366D">
      <w:headerReference w:type="default" r:id="rId7"/>
      <w:footerReference w:type="default" r:id="rId8"/>
      <w:pgSz w:w="11907" w:h="16840" w:code="9"/>
      <w:pgMar w:top="1134" w:right="567" w:bottom="1134" w:left="1701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691D" w:rsidRDefault="009F691D">
      <w:pPr>
        <w:spacing w:line="240" w:lineRule="auto"/>
      </w:pPr>
      <w:r>
        <w:separator/>
      </w:r>
    </w:p>
  </w:endnote>
  <w:endnote w:type="continuationSeparator" w:id="0">
    <w:p w:rsidR="009F691D" w:rsidRDefault="009F69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66D" w:rsidRDefault="006C366D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436C7">
      <w:rPr>
        <w:rStyle w:val="a5"/>
        <w:noProof/>
      </w:rPr>
      <w:t>2</w:t>
    </w:r>
    <w:r>
      <w:rPr>
        <w:rStyle w:val="a5"/>
      </w:rPr>
      <w:fldChar w:fldCharType="end"/>
    </w:r>
  </w:p>
  <w:p w:rsidR="006C366D" w:rsidRDefault="006C366D">
    <w:pPr>
      <w:pStyle w:val="a3"/>
      <w:framePr w:wrap="auto" w:vAnchor="text" w:hAnchor="margin" w:y="1"/>
      <w:rPr>
        <w:rStyle w:val="a5"/>
      </w:rPr>
    </w:pPr>
  </w:p>
  <w:p w:rsidR="006C366D" w:rsidRDefault="006C366D">
    <w:pPr>
      <w:pStyle w:val="a3"/>
      <w:framePr w:wrap="auto" w:vAnchor="text" w:hAnchor="margin" w:y="1"/>
      <w:ind w:right="360"/>
      <w:rPr>
        <w:rStyle w:val="a5"/>
        <w:lang w:val="en-US"/>
      </w:rPr>
    </w:pPr>
  </w:p>
  <w:p w:rsidR="006C366D" w:rsidRDefault="006C366D">
    <w:pPr>
      <w:pStyle w:val="a3"/>
      <w:framePr w:wrap="auto" w:vAnchor="text" w:hAnchor="margin" w:xAlign="center" w:y="1"/>
      <w:ind w:right="360"/>
      <w:rPr>
        <w:rStyle w:val="a5"/>
      </w:rPr>
    </w:pPr>
  </w:p>
  <w:p w:rsidR="006C366D" w:rsidRDefault="006C366D">
    <w:pPr>
      <w:pStyle w:val="a3"/>
      <w:tabs>
        <w:tab w:val="clear" w:pos="4153"/>
        <w:tab w:val="clear" w:pos="8306"/>
        <w:tab w:val="left" w:pos="5492"/>
      </w:tabs>
      <w:ind w:firstLine="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691D" w:rsidRDefault="009F691D">
      <w:pPr>
        <w:spacing w:line="240" w:lineRule="auto"/>
      </w:pPr>
      <w:r>
        <w:separator/>
      </w:r>
    </w:p>
  </w:footnote>
  <w:footnote w:type="continuationSeparator" w:id="0">
    <w:p w:rsidR="009F691D" w:rsidRDefault="009F691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66D" w:rsidRPr="00DB075B" w:rsidRDefault="006C366D" w:rsidP="00DB075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DA41AF"/>
    <w:multiLevelType w:val="multilevel"/>
    <w:tmpl w:val="2BA02400"/>
    <w:lvl w:ilvl="0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cs="Wingdings" w:hint="default"/>
      </w:rPr>
    </w:lvl>
  </w:abstractNum>
  <w:abstractNum w:abstractNumId="1">
    <w:nsid w:val="1EB24FE4"/>
    <w:multiLevelType w:val="multilevel"/>
    <w:tmpl w:val="26C81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6566695"/>
    <w:multiLevelType w:val="multilevel"/>
    <w:tmpl w:val="65D07BEC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cs="Wingdings" w:hint="default"/>
      </w:rPr>
    </w:lvl>
  </w:abstractNum>
  <w:abstractNum w:abstractNumId="3">
    <w:nsid w:val="31E857D6"/>
    <w:multiLevelType w:val="multilevel"/>
    <w:tmpl w:val="FB5C9A32"/>
    <w:lvl w:ilvl="0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cs="Wingdings" w:hint="default"/>
      </w:rPr>
    </w:lvl>
  </w:abstractNum>
  <w:abstractNum w:abstractNumId="4">
    <w:nsid w:val="37032BA2"/>
    <w:multiLevelType w:val="multilevel"/>
    <w:tmpl w:val="89F0309E"/>
    <w:lvl w:ilvl="0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cs="Symbol" w:hint="default"/>
      </w:rPr>
    </w:lvl>
    <w:lvl w:ilvl="1">
      <w:numFmt w:val="bullet"/>
      <w:lvlText w:val="-"/>
      <w:lvlJc w:val="left"/>
      <w:pPr>
        <w:tabs>
          <w:tab w:val="num" w:pos="2291"/>
        </w:tabs>
        <w:ind w:left="2291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cs="Wingdings" w:hint="default"/>
      </w:rPr>
    </w:lvl>
  </w:abstractNum>
  <w:abstractNum w:abstractNumId="5">
    <w:nsid w:val="3B01474E"/>
    <w:multiLevelType w:val="multilevel"/>
    <w:tmpl w:val="91026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DBC6CCE"/>
    <w:multiLevelType w:val="multilevel"/>
    <w:tmpl w:val="C7802C02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cs="Wingdings" w:hint="default"/>
      </w:rPr>
    </w:lvl>
  </w:abstractNum>
  <w:abstractNum w:abstractNumId="7">
    <w:nsid w:val="587B278A"/>
    <w:multiLevelType w:val="multilevel"/>
    <w:tmpl w:val="3AD68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60A44F77"/>
    <w:multiLevelType w:val="singleLevel"/>
    <w:tmpl w:val="B3A42AD4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71702D67"/>
    <w:multiLevelType w:val="multilevel"/>
    <w:tmpl w:val="E2323B0A"/>
    <w:lvl w:ilvl="0">
      <w:start w:val="1"/>
      <w:numFmt w:val="bullet"/>
      <w:lvlText w:val=""/>
      <w:lvlJc w:val="left"/>
      <w:pPr>
        <w:tabs>
          <w:tab w:val="num" w:pos="1211"/>
        </w:tabs>
        <w:ind w:left="1191" w:hanging="34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cs="Wingdings" w:hint="default"/>
      </w:rPr>
    </w:lvl>
  </w:abstractNum>
  <w:abstractNum w:abstractNumId="10">
    <w:nsid w:val="732B1BBF"/>
    <w:multiLevelType w:val="multilevel"/>
    <w:tmpl w:val="5E40294C"/>
    <w:lvl w:ilvl="0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cs="Wingdings" w:hint="default"/>
      </w:rPr>
    </w:lvl>
  </w:abstractNum>
  <w:num w:numId="1">
    <w:abstractNumId w:val="8"/>
  </w:num>
  <w:num w:numId="2">
    <w:abstractNumId w:val="8"/>
  </w:num>
  <w:num w:numId="3">
    <w:abstractNumId w:val="9"/>
  </w:num>
  <w:num w:numId="4">
    <w:abstractNumId w:val="0"/>
  </w:num>
  <w:num w:numId="5">
    <w:abstractNumId w:val="3"/>
  </w:num>
  <w:num w:numId="6">
    <w:abstractNumId w:val="10"/>
  </w:num>
  <w:num w:numId="7">
    <w:abstractNumId w:val="4"/>
  </w:num>
  <w:num w:numId="8">
    <w:abstractNumId w:val="5"/>
  </w:num>
  <w:num w:numId="9">
    <w:abstractNumId w:val="1"/>
  </w:num>
  <w:num w:numId="10">
    <w:abstractNumId w:val="2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revisionView w:markup="0"/>
  <w:doNotTrackMoves/>
  <w:doNotTrackFormatting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075B"/>
    <w:rsid w:val="006C366D"/>
    <w:rsid w:val="00876DCA"/>
    <w:rsid w:val="009F691D"/>
    <w:rsid w:val="00A436C7"/>
    <w:rsid w:val="00D62679"/>
    <w:rsid w:val="00DB0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83CB2603-4F7C-48AD-A321-74B8E26DF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line="360" w:lineRule="auto"/>
      <w:ind w:firstLine="851"/>
      <w:jc w:val="both"/>
    </w:pPr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/>
      <w:ind w:firstLine="0"/>
      <w:jc w:val="center"/>
      <w:outlineLvl w:val="0"/>
    </w:pPr>
    <w:rPr>
      <w:b/>
      <w:bCs/>
      <w:kern w:val="28"/>
      <w:sz w:val="36"/>
      <w:szCs w:val="36"/>
    </w:rPr>
  </w:style>
  <w:style w:type="paragraph" w:styleId="2">
    <w:name w:val="heading 2"/>
    <w:basedOn w:val="a"/>
    <w:next w:val="a"/>
    <w:link w:val="20"/>
    <w:uiPriority w:val="99"/>
    <w:qFormat/>
    <w:pPr>
      <w:keepNext/>
      <w:spacing w:before="240" w:after="60"/>
      <w:ind w:left="851" w:firstLine="0"/>
      <w:jc w:val="left"/>
      <w:outlineLvl w:val="1"/>
    </w:pPr>
    <w:rPr>
      <w:b/>
      <w:bCs/>
      <w:i/>
      <w:iCs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before="240" w:after="60"/>
      <w:ind w:left="851" w:firstLine="0"/>
      <w:jc w:val="left"/>
      <w:outlineLvl w:val="2"/>
    </w:pPr>
    <w:rPr>
      <w:b/>
      <w:bCs/>
    </w:rPr>
  </w:style>
  <w:style w:type="paragraph" w:styleId="7">
    <w:name w:val="heading 7"/>
    <w:basedOn w:val="a"/>
    <w:next w:val="a"/>
    <w:link w:val="70"/>
    <w:uiPriority w:val="99"/>
    <w:qFormat/>
    <w:pPr>
      <w:keepNext/>
      <w:spacing w:line="240" w:lineRule="auto"/>
      <w:ind w:firstLine="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ій колонтитул Знак"/>
    <w:link w:val="a3"/>
    <w:uiPriority w:val="99"/>
    <w:semiHidden/>
    <w:rPr>
      <w:sz w:val="28"/>
      <w:szCs w:val="28"/>
    </w:rPr>
  </w:style>
  <w:style w:type="character" w:styleId="a5">
    <w:name w:val="page number"/>
    <w:uiPriority w:val="99"/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</w:pPr>
  </w:style>
  <w:style w:type="character" w:customStyle="1" w:styleId="a7">
    <w:name w:val="Верхній колонтитул Знак"/>
    <w:link w:val="a6"/>
    <w:uiPriority w:val="99"/>
    <w:semiHidden/>
    <w:rPr>
      <w:sz w:val="28"/>
      <w:szCs w:val="28"/>
    </w:rPr>
  </w:style>
  <w:style w:type="paragraph" w:customStyle="1" w:styleId="a8">
    <w:name w:val="Содержание"/>
    <w:basedOn w:val="a"/>
    <w:next w:val="a"/>
    <w:uiPriority w:val="99"/>
    <w:pPr>
      <w:ind w:firstLine="0"/>
      <w:jc w:val="center"/>
    </w:pPr>
    <w:rPr>
      <w:b/>
      <w:bCs/>
      <w:sz w:val="36"/>
      <w:szCs w:val="36"/>
    </w:rPr>
  </w:style>
  <w:style w:type="paragraph" w:customStyle="1" w:styleId="a9">
    <w:name w:val="Таблица"/>
    <w:basedOn w:val="a"/>
    <w:uiPriority w:val="99"/>
    <w:pPr>
      <w:spacing w:line="240" w:lineRule="auto"/>
      <w:ind w:firstLine="0"/>
      <w:jc w:val="left"/>
    </w:pPr>
    <w:rPr>
      <w:sz w:val="24"/>
      <w:szCs w:val="24"/>
    </w:rPr>
  </w:style>
  <w:style w:type="paragraph" w:styleId="11">
    <w:name w:val="toc 1"/>
    <w:basedOn w:val="a"/>
    <w:next w:val="a"/>
    <w:autoRedefine/>
    <w:uiPriority w:val="99"/>
    <w:semiHidden/>
    <w:pPr>
      <w:tabs>
        <w:tab w:val="right" w:leader="underscore" w:pos="9355"/>
      </w:tabs>
      <w:spacing w:before="120"/>
      <w:ind w:firstLine="0"/>
      <w:jc w:val="left"/>
    </w:pPr>
    <w:rPr>
      <w:b/>
      <w:bCs/>
    </w:rPr>
  </w:style>
  <w:style w:type="paragraph" w:styleId="31">
    <w:name w:val="toc 3"/>
    <w:basedOn w:val="21"/>
    <w:next w:val="a"/>
    <w:autoRedefine/>
    <w:uiPriority w:val="99"/>
    <w:semiHidden/>
    <w:pPr>
      <w:ind w:left="567"/>
    </w:pPr>
    <w:rPr>
      <w:i/>
      <w:iCs/>
    </w:rPr>
  </w:style>
  <w:style w:type="paragraph" w:styleId="21">
    <w:name w:val="toc 2"/>
    <w:basedOn w:val="a"/>
    <w:next w:val="a"/>
    <w:autoRedefine/>
    <w:uiPriority w:val="99"/>
    <w:semiHidden/>
    <w:pPr>
      <w:tabs>
        <w:tab w:val="right" w:leader="underscore" w:pos="9355"/>
      </w:tabs>
      <w:spacing w:before="120"/>
      <w:ind w:left="284" w:firstLine="0"/>
      <w:jc w:val="left"/>
    </w:pPr>
  </w:style>
  <w:style w:type="paragraph" w:styleId="aa">
    <w:name w:val="footnote text"/>
    <w:basedOn w:val="a"/>
    <w:link w:val="ab"/>
    <w:uiPriority w:val="99"/>
    <w:semiHidden/>
    <w:pPr>
      <w:keepNext/>
      <w:keepLines/>
    </w:pPr>
    <w:rPr>
      <w:rFonts w:ascii="Arial" w:hAnsi="Arial" w:cs="Arial"/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Pr>
      <w:sz w:val="20"/>
      <w:szCs w:val="20"/>
    </w:rPr>
  </w:style>
  <w:style w:type="paragraph" w:customStyle="1" w:styleId="H4">
    <w:name w:val="H4"/>
    <w:basedOn w:val="a"/>
    <w:next w:val="a"/>
    <w:uiPriority w:val="99"/>
    <w:pPr>
      <w:keepNext/>
      <w:spacing w:before="100" w:after="100" w:line="240" w:lineRule="auto"/>
      <w:ind w:firstLine="0"/>
      <w:jc w:val="left"/>
      <w:outlineLvl w:val="4"/>
    </w:pPr>
    <w:rPr>
      <w:b/>
      <w:bCs/>
      <w:sz w:val="24"/>
      <w:szCs w:val="24"/>
    </w:rPr>
  </w:style>
  <w:style w:type="paragraph" w:styleId="4">
    <w:name w:val="toc 4"/>
    <w:basedOn w:val="a"/>
    <w:next w:val="a"/>
    <w:autoRedefine/>
    <w:uiPriority w:val="99"/>
    <w:semiHidden/>
    <w:pPr>
      <w:ind w:left="840"/>
    </w:pPr>
  </w:style>
  <w:style w:type="paragraph" w:styleId="5">
    <w:name w:val="toc 5"/>
    <w:basedOn w:val="a"/>
    <w:next w:val="a"/>
    <w:autoRedefine/>
    <w:uiPriority w:val="99"/>
    <w:semiHidden/>
    <w:pPr>
      <w:ind w:left="1120"/>
    </w:pPr>
  </w:style>
  <w:style w:type="paragraph" w:styleId="6">
    <w:name w:val="toc 6"/>
    <w:basedOn w:val="a"/>
    <w:next w:val="a"/>
    <w:autoRedefine/>
    <w:uiPriority w:val="99"/>
    <w:semiHidden/>
    <w:pPr>
      <w:ind w:left="1400"/>
    </w:pPr>
  </w:style>
  <w:style w:type="paragraph" w:styleId="71">
    <w:name w:val="toc 7"/>
    <w:basedOn w:val="a"/>
    <w:next w:val="a"/>
    <w:autoRedefine/>
    <w:uiPriority w:val="99"/>
    <w:semiHidden/>
    <w:pPr>
      <w:ind w:left="1680"/>
    </w:pPr>
  </w:style>
  <w:style w:type="paragraph" w:styleId="8">
    <w:name w:val="toc 8"/>
    <w:basedOn w:val="a"/>
    <w:next w:val="a"/>
    <w:autoRedefine/>
    <w:uiPriority w:val="99"/>
    <w:semiHidden/>
    <w:pPr>
      <w:ind w:left="1960"/>
    </w:pPr>
  </w:style>
  <w:style w:type="paragraph" w:styleId="9">
    <w:name w:val="toc 9"/>
    <w:basedOn w:val="a"/>
    <w:next w:val="a"/>
    <w:autoRedefine/>
    <w:uiPriority w:val="99"/>
    <w:semiHidden/>
    <w:pPr>
      <w:ind w:left="2240"/>
    </w:pPr>
  </w:style>
  <w:style w:type="character" w:styleId="ac">
    <w:name w:val="footnote reference"/>
    <w:uiPriority w:val="99"/>
    <w:semiHidden/>
    <w:rPr>
      <w:vertAlign w:val="superscript"/>
    </w:rPr>
  </w:style>
  <w:style w:type="paragraph" w:styleId="22">
    <w:name w:val="Body Text 2"/>
    <w:basedOn w:val="a"/>
    <w:link w:val="23"/>
    <w:uiPriority w:val="99"/>
    <w:pPr>
      <w:spacing w:line="240" w:lineRule="auto"/>
      <w:ind w:firstLine="0"/>
    </w:pPr>
    <w:rPr>
      <w:u w:val="single"/>
    </w:rPr>
  </w:style>
  <w:style w:type="character" w:customStyle="1" w:styleId="23">
    <w:name w:val="Основний текст 2 Знак"/>
    <w:link w:val="22"/>
    <w:uiPriority w:val="99"/>
    <w:semiHidden/>
    <w:rPr>
      <w:sz w:val="28"/>
      <w:szCs w:val="28"/>
    </w:rPr>
  </w:style>
  <w:style w:type="paragraph" w:styleId="ad">
    <w:name w:val="Body Text"/>
    <w:basedOn w:val="a"/>
    <w:link w:val="ae"/>
    <w:uiPriority w:val="99"/>
    <w:pPr>
      <w:spacing w:line="240" w:lineRule="auto"/>
      <w:ind w:firstLine="0"/>
    </w:pPr>
  </w:style>
  <w:style w:type="character" w:customStyle="1" w:styleId="ae">
    <w:name w:val="Основний текст Знак"/>
    <w:link w:val="ad"/>
    <w:uiPriority w:val="99"/>
    <w:semiHidden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1417</Words>
  <Characters>8082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Экономические факторы трудовой миграции из стран Восточной и Центральной Европы</vt:lpstr>
    </vt:vector>
  </TitlesOfParts>
  <Company>дом</Company>
  <LinksUpToDate>false</LinksUpToDate>
  <CharactersWithSpaces>9481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Экономические факторы трудовой миграции из стран Восточной и Центральной Европы</dc:title>
  <dc:subject/>
  <dc:creator>имя</dc:creator>
  <cp:keywords/>
  <dc:description/>
  <cp:lastModifiedBy>Irina</cp:lastModifiedBy>
  <cp:revision>2</cp:revision>
  <cp:lastPrinted>2002-11-09T14:41:00Z</cp:lastPrinted>
  <dcterms:created xsi:type="dcterms:W3CDTF">2014-08-02T19:07:00Z</dcterms:created>
  <dcterms:modified xsi:type="dcterms:W3CDTF">2014-08-02T19:07:00Z</dcterms:modified>
</cp:coreProperties>
</file>