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5F7" w:rsidRDefault="0088026A">
      <w:pPr>
        <w:pStyle w:val="1"/>
        <w:jc w:val="center"/>
      </w:pPr>
      <w:r>
        <w:t>Стандартное отклонение как индикатор риска финансовых инструментов</w:t>
      </w:r>
    </w:p>
    <w:p w:rsidR="00E815F7" w:rsidRPr="0088026A" w:rsidRDefault="0088026A">
      <w:pPr>
        <w:pStyle w:val="a3"/>
      </w:pPr>
      <w:r>
        <w:t> </w:t>
      </w:r>
    </w:p>
    <w:p w:rsidR="00E815F7" w:rsidRDefault="0088026A">
      <w:pPr>
        <w:pStyle w:val="a3"/>
      </w:pPr>
      <w:r>
        <w:t>Д. А. Харитонов</w:t>
      </w:r>
    </w:p>
    <w:p w:rsidR="00E815F7" w:rsidRDefault="0088026A">
      <w:pPr>
        <w:pStyle w:val="a3"/>
      </w:pPr>
      <w:r>
        <w:t>Целью настоящей работы является исследование рискованности инвестиций в акции крупнейших российских эмитентов на фоне второй волны мирового финансово-экономического кризиса, а также сравнение полученных результатов с результатами такого же расчета, но для другого временного интервала. Основу методологии исследования составляет система Г. Марковица в части, касающейся расчета рискованности отдельной бумаги на фондовом рынке. Поскольку Марковиц в своих работах предлагает теорию эффективного портфеля ценных бумаг, то есть портфеля, позволяющего добиться максимальной доходности при заданном уровне риска либо минимального риска при заданном уровне доходно - сти, мы в настоящей работе постараемся применить расчет и интерпретацию показателя рискованности в разрезе отраслей российской промышленности [1]. Мы проведем расчет рискованности для наиболее крупных нефтегазовых предприятий, предприятий сектора металлургии, банковского и телекоммуникационного секторов. В качестве объекта исследования мы выбрали акции наиболее показательных, с нашей точки зрения, для каждой отрасли предприятий: ОАО «Газпром», ОАО «Роснефть», ОАО «Новолипецкий металлургический комбинат», ОАО «Магнитогорский металлургический комбинат», ОАО «Сбербанк России», ОАО «ВТБ», ОАО «МТС» и ОАО «Ростелеком». Динамика акций данных компаний была исследована нами за один год, в разрезе месячных интервалов для фиксации кон - кретных цен закрытия акций. Далее мы провели расчет показателя стандартного отклонения для этих же инструментов в относительно спокойный период для мировых рынков, когда еще мало что предвещало кризисное развитие ситуации. В качестве фактической цены мы взяли стоимость ценных бумаг на момент закрытия торгов в последний день каждого месяца [2]. Итак, представим данные по фактическим ценам на акции выбранных предприятий в виде таблицы.</w:t>
      </w:r>
    </w:p>
    <w:p w:rsidR="00E815F7" w:rsidRDefault="0088026A">
      <w:pPr>
        <w:pStyle w:val="a3"/>
      </w:pPr>
      <w:r>
        <w:t>Проясним сущность используемого нами показателя - стандартного отклонения в разрезе финансовых рынков. Используя его в техническом анализе финансовых рынков, мы превращаем этот статистический «показатель рассеяния» в «индикатор волатильности» рынка. При этом сохраняется смысл показателя, но меняются термины. Сути показателя стандартного отклонения возможно выявить лишь с усвоением азов описательной статистики. Рассмотрим условный пример: мы имеем 2 выборки, у которых среднее арифметическое одинаково и равно 3. Казалось бы, одинаковое среднее делает эти две выборки одинаковыми. Представим, что возможные варианты данных для этих двух выборок следующие:</w:t>
      </w:r>
    </w:p>
    <w:p w:rsidR="00E815F7" w:rsidRDefault="0088026A">
      <w:pPr>
        <w:pStyle w:val="a3"/>
      </w:pPr>
      <w:r>
        <w:t>Вариант № 1: 1, 2, 3, 4, 5.</w:t>
      </w:r>
    </w:p>
    <w:p w:rsidR="00E815F7" w:rsidRDefault="0088026A">
      <w:pPr>
        <w:pStyle w:val="a3"/>
      </w:pPr>
      <w:r>
        <w:t>Вариант № 2: -240, -113, 3, 110, 255.</w:t>
      </w:r>
    </w:p>
    <w:p w:rsidR="00E815F7" w:rsidRDefault="0088026A">
      <w:pPr>
        <w:pStyle w:val="a3"/>
      </w:pPr>
      <w:r>
        <w:t>Очевидно, что разброс (или рассеяние, или волатильность, в случае финансовых рынков) гораздо больше во второй выборке. Следовательно, несмотря на то, что у этих двух выборок одинаковое среднее (равное 3), они совершенно разные с точки зрения рискованности в силу того, что у второй выборки данные беспорядочно и значительно рассеяны вокруг центра, а у первой - сконцентрированы около средней и строго упорядочены. Если провести расчет показателя стандартного отклонения для нашего примера, то очевидно, что у второй выборки стандартное отклонение равно 192, а у первой - 1,6. Разница весьма существенная. Используя этот расчет, можно сделать вывод о существенно более высоком уровне риска и неопределенности варианта № 2.</w:t>
      </w:r>
    </w:p>
    <w:p w:rsidR="00E815F7" w:rsidRDefault="0088026A">
      <w:pPr>
        <w:pStyle w:val="a3"/>
      </w:pPr>
      <w:r>
        <w:t>Отметим, что показатель стандартного отклонения по непонятным причинам не получил широкого распространения в сфере практикующих биржевых трейдеров и, как правило, если и используется, то только как часть какого-либо более комплексного индикатора. Между тем мы полагаем, что расчет стандартного отклонения для финансового инструмента сам по себе может дать очень много полезной информации участнику финансового рынка и даже служить базой для разработки стратегии формирования портфеля финансовых инструментов. В дополнение к перечисленным выше предприятиям мы провели соответствующие вычисления для ценных бумаг ОАО «Транснефть», рыночная стоимость которых очень высока относительно остальных акций отечественного фондового рынка. В данном случае, наша цель состояла в том, чтобы выяснить, подчиняется ли столь дорогой рыночный инструмент тем же закономерностям, что и менее дорогие, ведь очевидно, что чем дороже бумага, тем меньше ее ликвидность на рынке в силу ограниченности средств каждого отдельного участника торгов.</w:t>
      </w:r>
    </w:p>
    <w:p w:rsidR="00E815F7" w:rsidRDefault="0088026A">
      <w:pPr>
        <w:pStyle w:val="a3"/>
      </w:pPr>
      <w:r>
        <w:t>Приведем расчет показателя стандартного отклонения для бумаг ОАО «Газпром» за период 12 месяцев. В Таблице 1 первый столбец показывает фактические цены акций с февраля 2005 г. по январь 2006 г. включительно (период 1), в то время как второй столбец показывает соответствующие цены за период с февраля 2011 г. по январь 2012 г. включительно (период 2). Далее мы сделали расчет стандартного отклонения отдельно для каждого периода, что дало нам возможность сравнить поведение бумаги в относительно спокойный период биржевого роста и в период второй волны мировогофинансово экономического кризиса.</w:t>
      </w:r>
    </w:p>
    <w:p w:rsidR="00E815F7" w:rsidRDefault="0088026A">
      <w:pPr>
        <w:pStyle w:val="a3"/>
      </w:pPr>
      <w:r>
        <w:t>Таблица 1</w:t>
      </w:r>
    </w:p>
    <w:p w:rsidR="00E815F7" w:rsidRDefault="0088026A">
      <w:pPr>
        <w:pStyle w:val="a3"/>
      </w:pPr>
      <w:r>
        <w:t>Расчет показателя стандартного отклонения акций ОАО «Газпром» для периодов февраль 2005 г. - январь 2006 г. и февраль 2011 г. - январь 2012 г.</w:t>
      </w:r>
    </w:p>
    <w:p w:rsidR="00E815F7" w:rsidRDefault="0088026A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</w:tblGrid>
      <w:tr w:rsidR="00E815F7">
        <w:trPr>
          <w:trHeight w:val="42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Порядковый номер периода (месяца)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2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февраль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230,15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229,09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март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310,25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231,78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апрель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283,00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204,02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май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281,83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203,87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июнь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277,88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199,44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313,45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178,08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август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288,00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155,90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сентябрь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282,19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174,90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октябрь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305,50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171,36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ноябрь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302,56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183,80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декабрь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285,00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194,09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январь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267,42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201,30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средняя цена за период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285,60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193,97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стандартное отклонение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22,50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22,61</w:t>
            </w:r>
          </w:p>
        </w:tc>
      </w:tr>
    </w:tbl>
    <w:p w:rsidR="00E815F7" w:rsidRPr="0088026A" w:rsidRDefault="0088026A">
      <w:pPr>
        <w:pStyle w:val="a3"/>
      </w:pPr>
      <w:r>
        <w:t>Анализируя полученные данные, можно сказать, что стандартное отклонение практически не изменилось во втором периоде по сравнению с первым периодом. Это говорит о том, что историческая волатильность данной бумаги находится примерно на одном уровне как в период роста мировой экономики, так и в период кризисных явлений. Конечно мы не можем говорить, что бумага не подвержена снижению своей рыночной стоимости в период кризиса, однако можно говорить, что такое снижение, вероятно, будет иметь относительно плавный и предсказуемый характер. Далее рассмотрим расчет показателя стандартного отклонения еще для одного представителя нефтегазовой отрасли России - ОАО «Роснефть». Представим результаты расчета в Таблице 2.</w:t>
      </w:r>
    </w:p>
    <w:p w:rsidR="00E815F7" w:rsidRDefault="0088026A">
      <w:pPr>
        <w:pStyle w:val="a3"/>
      </w:pPr>
      <w:r>
        <w:t>Таблица 2</w:t>
      </w:r>
    </w:p>
    <w:p w:rsidR="00E815F7" w:rsidRDefault="0088026A">
      <w:pPr>
        <w:pStyle w:val="a3"/>
      </w:pPr>
      <w:r>
        <w:t>Расчет показателя стандартного отклонения акций ОАО «Роснефть» для периодов февраль 2005 г. - январь 2006 г. и февраль 2011 г. - январь 2012 г.</w:t>
      </w:r>
    </w:p>
    <w:p w:rsidR="00E815F7" w:rsidRDefault="0088026A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</w:tblGrid>
      <w:tr w:rsidR="00E815F7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Порядковый номер периода (месяца)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февраль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216,20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243,60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март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223,79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242,15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апрель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217,09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235,80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май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204,79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236,10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июнь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213,62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228,00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211,80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190,28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август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213,12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217,82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сентябрь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217,09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223,13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октябрь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221,07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213,80</w:t>
            </w:r>
          </w:p>
        </w:tc>
      </w:tr>
      <w:tr w:rsidR="00E815F7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Порядковый номер периода (месяца)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ноябрь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231,70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224,83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декабрь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172,00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222,15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январь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196,04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221,75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средняя цена за период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211,53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224,95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стандартное отклонение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15,33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14,44</w:t>
            </w:r>
          </w:p>
        </w:tc>
      </w:tr>
    </w:tbl>
    <w:p w:rsidR="00E815F7" w:rsidRPr="0088026A" w:rsidRDefault="0088026A">
      <w:pPr>
        <w:pStyle w:val="a3"/>
      </w:pPr>
      <w:r>
        <w:t>Исходя из полученных данных, можно сказать, что стандартное отклонение в кризисный период не только не выросло, но напротив, снизилось. Фактически бумага показывает меньшую историческую волатильность за последний год по сравнению с периодом устойчивого роста. Интерпретируя данный результат, можно сказать, что динамика акций ОАО «Роснефть» стала еще более предсказуемой и менее рискованной для участников рынка, чем это было 5-6 лет назад.</w:t>
      </w:r>
    </w:p>
    <w:p w:rsidR="00E815F7" w:rsidRDefault="0088026A">
      <w:pPr>
        <w:pStyle w:val="a3"/>
      </w:pPr>
      <w:r>
        <w:t>Перейдем к расчету соответствующих показателей для предприятий металлургической отрасли. В рамках нашего исследования мы взяли данные по ценам акций двух металлургических гигантов России - ОАО «Новолипеций металлургический комбинат» и ОАО «Магнитогорский металлургический комбинат». Цены акций данных предприятий изучались нами в разрезе двух периодов: февраль 2005 г. - январь 2006 г. (период 1) и февраль 2011 г. - январь 2012 г. (период</w:t>
      </w:r>
    </w:p>
    <w:p w:rsidR="00E815F7" w:rsidRDefault="0088026A">
      <w:pPr>
        <w:pStyle w:val="a3"/>
      </w:pPr>
      <w:r>
        <w:t>. Для начала представим результаты исследования для ОАО «НЛМК», сведя полученные данные в Таблицу 3:</w:t>
      </w:r>
    </w:p>
    <w:p w:rsidR="00E815F7" w:rsidRDefault="0088026A">
      <w:pPr>
        <w:pStyle w:val="a3"/>
      </w:pPr>
      <w:r>
        <w:t>Таблица 3</w:t>
      </w:r>
    </w:p>
    <w:p w:rsidR="00E815F7" w:rsidRDefault="0088026A">
      <w:pPr>
        <w:pStyle w:val="a3"/>
      </w:pPr>
      <w:r>
        <w:t>Расчет показателя стандартного отклонения акций ОАО «НЛМК» для периодов февраль 2005 г. - январь 2006 г. и</w:t>
      </w:r>
    </w:p>
    <w:p w:rsidR="00E815F7" w:rsidRDefault="0088026A">
      <w:pPr>
        <w:pStyle w:val="a3"/>
      </w:pPr>
      <w:r>
        <w:t>февраль 2011 г. - январь 2012 г.</w:t>
      </w:r>
    </w:p>
    <w:p w:rsidR="00E815F7" w:rsidRDefault="0088026A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</w:tblGrid>
      <w:tr w:rsidR="00E815F7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Порядковый номер периода (месяца)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2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февраль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75,48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106,79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март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71,10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103,45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апрель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69,99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108,30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май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76,50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103,86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июнь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82,50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87,46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82,30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66,10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август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85,41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73,30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сентябрь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101,00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78,90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октябрь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97,00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67,25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ноябрь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99,51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62,50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декабрь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88,00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71,68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январь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112,70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68,40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средняя цена за период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86,79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83,17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стандартное отклонение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13,29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17,80</w:t>
            </w:r>
          </w:p>
        </w:tc>
      </w:tr>
    </w:tbl>
    <w:p w:rsidR="00E815F7" w:rsidRPr="0088026A" w:rsidRDefault="0088026A">
      <w:pPr>
        <w:pStyle w:val="a3"/>
      </w:pPr>
      <w:r>
        <w:t>Из данной таблицы видно, что стандартное отклонение по акциям ОАО «НЛМК» выросло во втором периоде, причем рост оказался весьма значительным. Прирост показателя в абсолютных числах составил 4,51 или в относительном исчислении 34 %. Очевидно, что волатильность бумаг ОАО «НЛМК» выросла в кризисный период, что говорит о росте рискованности данных бумаг с точки зрения инвестиций в них. Проверим, что произошло с бумагами второго меткомбината - ОАО «ММК». Сведем полученные данные в Таблицу 4.</w:t>
      </w:r>
    </w:p>
    <w:p w:rsidR="00E815F7" w:rsidRDefault="0088026A">
      <w:pPr>
        <w:pStyle w:val="a3"/>
      </w:pPr>
      <w:r>
        <w:t>Таблица 4</w:t>
      </w:r>
    </w:p>
    <w:p w:rsidR="00E815F7" w:rsidRDefault="0088026A">
      <w:pPr>
        <w:pStyle w:val="a3"/>
      </w:pPr>
      <w:r>
        <w:t>Расчет показателя стандартного отклонения акций ОАО «ММК» для периодов февраль 2005 г. - январь 2006 г. и февраль 2011 г. - январь 2012 г.</w:t>
      </w:r>
    </w:p>
    <w:p w:rsidR="00E815F7" w:rsidRDefault="0088026A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</w:tblGrid>
      <w:tr w:rsidR="00E815F7">
        <w:trPr>
          <w:trHeight w:val="42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Порядковый номер периода (месяца)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февраль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21,30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32,75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март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20,40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27,15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апрель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20,50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26,08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май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19,93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24,92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июнь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18,83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24,48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18,75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17,79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август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18,10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12,03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сентябрь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20,77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14,82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октябрь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20,50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14,63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ноябрь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22,95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12,70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декабрь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22,97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14,05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январь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24,70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14,71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средняя цена за период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20,81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19,68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стандартное отклонение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1,94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6,97</w:t>
            </w:r>
          </w:p>
        </w:tc>
      </w:tr>
    </w:tbl>
    <w:p w:rsidR="00E815F7" w:rsidRPr="0088026A" w:rsidRDefault="0088026A">
      <w:pPr>
        <w:pStyle w:val="a3"/>
      </w:pPr>
      <w:r>
        <w:t>Исходя из полученных данных, можно говорить о резком росте стандартного отклонения данной бумаги во втором периоде. Причем показатель вырос в 3,6 раза, что говорит о взрывном росте волатильности данной бумаги в кризисный период, а следовательно, о соответствующем росте рискованности бумаги в разрезе инвестиций в бумагу.</w:t>
      </w:r>
    </w:p>
    <w:p w:rsidR="00E815F7" w:rsidRDefault="0088026A">
      <w:pPr>
        <w:pStyle w:val="a3"/>
      </w:pPr>
      <w:r>
        <w:t>Переходим к банковской отрасли, которая представлена в нашем исследовании крупнейшим отечественным банком ОАО «Сбербанк России». Сведем результаты наших расчетов в таблицу.</w:t>
      </w:r>
    </w:p>
    <w:p w:rsidR="00E815F7" w:rsidRDefault="0088026A">
      <w:pPr>
        <w:pStyle w:val="a3"/>
      </w:pPr>
      <w:r>
        <w:t>Таблица 5</w:t>
      </w:r>
    </w:p>
    <w:p w:rsidR="00E815F7" w:rsidRDefault="0088026A">
      <w:pPr>
        <w:pStyle w:val="a3"/>
      </w:pPr>
      <w:r>
        <w:t>Расчет показателя стандартного отклонения акций ОАО «Сбербанк России» для периодов февраль 2005 г. - январь</w:t>
      </w:r>
    </w:p>
    <w:p w:rsidR="00E815F7" w:rsidRDefault="0088026A">
      <w:pPr>
        <w:pStyle w:val="a3"/>
      </w:pPr>
      <w:r>
        <w:t>2006 г. и февраль 2011 г. - январь 2012 г.</w:t>
      </w:r>
    </w:p>
    <w:p w:rsidR="00E815F7" w:rsidRDefault="0088026A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</w:tblGrid>
      <w:tr w:rsidR="00E815F7">
        <w:trPr>
          <w:trHeight w:val="43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Порядковый номер периода (месяца)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Период 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Период 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февраль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8,49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73,10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март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8,90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68,33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апрель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9,18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66,20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май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11,75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76,05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июнь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14,44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83,00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июль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19,18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71,67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август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19,58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54,82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сентябрь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18,17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64,00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октябрь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23,84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68,09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ноябрь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31,96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59,40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декабрь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38,24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66,00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январь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38,40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77,12</w:t>
            </w:r>
          </w:p>
        </w:tc>
      </w:tr>
      <w:tr w:rsidR="00E815F7">
        <w:trPr>
          <w:trHeight w:val="42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Порядковый номер периода (месяца)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Период 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Период 2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 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средняя цена за период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20,18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68,98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 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стандартное отклонение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10,89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815F7" w:rsidRDefault="0088026A">
            <w:r>
              <w:t>7,82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 </w:t>
            </w:r>
          </w:p>
        </w:tc>
      </w:tr>
      <w:tr w:rsidR="00E815F7">
        <w:trPr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 </w:t>
            </w:r>
          </w:p>
        </w:tc>
      </w:tr>
    </w:tbl>
    <w:p w:rsidR="00E815F7" w:rsidRPr="0088026A" w:rsidRDefault="0088026A">
      <w:pPr>
        <w:pStyle w:val="a3"/>
      </w:pPr>
      <w:r>
        <w:t>Из таблицы следует, что показатель стандартного отклонения снизился в кризисном периоде по сравнению с периодом устойчивого роста. Это говорит о снижении волатильности, а следовательно, и рискованности инвестиций в бумаги ОАО «Сбербанк России» за последние 12 месяцев по сравнению с периодом 5 лет назад. Отметим также, что за это время стоимость ценных бумаг на рынке значительно выросла, несмотря на кризис.</w:t>
      </w:r>
    </w:p>
    <w:p w:rsidR="00E815F7" w:rsidRDefault="0088026A">
      <w:pPr>
        <w:pStyle w:val="a3"/>
      </w:pPr>
      <w:r>
        <w:t>Следующая отрасль, которую мы рассмотрим в рамках нашего исследования, - телекоммуникации. Здесь мы провели соответствующие расчеты для бумаг крупнейших публичных компаний отрасли - ОАО «МТС» и ОАО «Ростелеком». Для начала обратимся к акциям ОАО «МТС», сведя полученные результаты в Таблицу 6:</w:t>
      </w:r>
    </w:p>
    <w:p w:rsidR="00E815F7" w:rsidRDefault="0088026A">
      <w:pPr>
        <w:pStyle w:val="a3"/>
      </w:pPr>
      <w:r>
        <w:t>Таблица 6</w:t>
      </w:r>
    </w:p>
    <w:p w:rsidR="00E815F7" w:rsidRDefault="0088026A">
      <w:pPr>
        <w:pStyle w:val="a3"/>
      </w:pPr>
      <w:r>
        <w:t>Расчет показателя стандартного отклонения акций ОАО «МТС» для периодов февраль 2005 г. - январь 2006 г. и фев-</w:t>
      </w:r>
    </w:p>
    <w:p w:rsidR="00E815F7" w:rsidRDefault="0088026A">
      <w:pPr>
        <w:pStyle w:val="a3"/>
      </w:pPr>
      <w:r>
        <w:t>раль 2011 г. - январь 2012 г.</w:t>
      </w:r>
    </w:p>
    <w:p w:rsidR="00E815F7" w:rsidRDefault="0088026A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</w:tblGrid>
      <w:tr w:rsidR="00E815F7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Порядковый номер периода (месяца)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февраль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196,00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261,00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март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183,00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253,00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апрель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196,00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238,00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май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191,00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236,00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июнь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205,00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245,00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215,50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223,00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август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226,49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176,00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сентябрь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207,01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194,00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октябрь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203,90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213,00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ноябрь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193,50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188,00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декабрь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190,00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214,00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январь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193,98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223,00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средняя цена за период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200,12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222,00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стандартное отклонение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12,10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26,40</w:t>
            </w:r>
          </w:p>
        </w:tc>
      </w:tr>
    </w:tbl>
    <w:p w:rsidR="00E815F7" w:rsidRPr="0088026A" w:rsidRDefault="0088026A">
      <w:pPr>
        <w:pStyle w:val="a3"/>
      </w:pPr>
      <w:r>
        <w:t>Анализ полученных данных говорит о серьезном росте показателя стандартного отклонения во втором периоде. Это может свидетельствовать о соответствующем росте волатильности и рискованности инвестиций в бумаги ОАО «МТС» за последние 12 месяцев по сравнению с периодом 2005-2006 гг. Далее рассмотрим динамику бумаг второго представителя отрасли - ОАО «Ростелеком». Также сведем полученные данные в таблицу (см. Табл. 7)</w:t>
      </w:r>
    </w:p>
    <w:p w:rsidR="00E815F7" w:rsidRDefault="0088026A">
      <w:pPr>
        <w:pStyle w:val="a3"/>
      </w:pPr>
      <w:r>
        <w:t>Таблица 7</w:t>
      </w:r>
    </w:p>
    <w:p w:rsidR="00E815F7" w:rsidRDefault="0088026A">
      <w:pPr>
        <w:pStyle w:val="a3"/>
      </w:pPr>
      <w:r>
        <w:t>Расчет показателя стандартного отклонения акций ОАО «Ростелеком» для периодов февраль 2005 г. - январь 2006 г.</w:t>
      </w:r>
    </w:p>
    <w:p w:rsidR="00E815F7" w:rsidRDefault="0088026A">
      <w:pPr>
        <w:pStyle w:val="a3"/>
      </w:pPr>
      <w:r>
        <w:t>и февраль 2011 г. - январь 2012 г.</w:t>
      </w:r>
    </w:p>
    <w:p w:rsidR="00E815F7" w:rsidRDefault="0088026A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</w:tblGrid>
      <w:tr w:rsidR="00E815F7">
        <w:trPr>
          <w:trHeight w:val="42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Порядковый номер периода (месяца)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февраль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58,60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172,00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март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58,30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168,00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апрель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57,17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162,00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май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57,49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190,00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июнь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59,67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204,00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64,30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191,00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август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72,23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150,00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сентябрь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59,90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154,00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октябрь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65,91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159,00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ноябрь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64,57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152,00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декабрь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63,06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150,00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январь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93,50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147,00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средняя цена за период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64,56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166,58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стандартное отклонение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10,11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18,97</w:t>
            </w:r>
          </w:p>
        </w:tc>
      </w:tr>
    </w:tbl>
    <w:p w:rsidR="00E815F7" w:rsidRPr="0088026A" w:rsidRDefault="0088026A">
      <w:pPr>
        <w:pStyle w:val="a3"/>
      </w:pPr>
      <w:r>
        <w:t>Исходя и полученного результата, как и в предыдущем случае, можно говорить о значительном росте показателя стандартного отклонения во втором периоде. Это свидетельствует о соответствующем росте волатильности инструмента в кризисный период и, как следствие, росте рискованности инвестиций в данный инструмент. Помимо этого, можно констатировать, что несмотря на кризисные явления, стоимость акций предприятия значительно выросла за время между расчетными периодами.</w:t>
      </w:r>
    </w:p>
    <w:p w:rsidR="00E815F7" w:rsidRDefault="0088026A">
      <w:pPr>
        <w:pStyle w:val="a3"/>
      </w:pPr>
      <w:r>
        <w:t>В заключение исследования проведем расчет показателя стандартного отклонения еще для акций ОАО «Транснефть». Данная бумага характеризуется относительно высокой рыночной стоимостью, что очевидно влечет за собой меньшую по сравнению с другими бумагами ликвидность. В данном случае мы преследуем цель изучить динамику волатильности инструмента и понять, оказывает ли высокая рыночная стоимость какое- либо влияние на рискованность инвестиций в инструмент в кризисный период. Как и раньше, представим полученные нами результаты в виде соответствующей таблицы:</w:t>
      </w:r>
    </w:p>
    <w:p w:rsidR="00E815F7" w:rsidRDefault="0088026A">
      <w:pPr>
        <w:pStyle w:val="a3"/>
      </w:pPr>
      <w:r>
        <w:t>Таблица 8</w:t>
      </w:r>
    </w:p>
    <w:p w:rsidR="00E815F7" w:rsidRDefault="0088026A">
      <w:pPr>
        <w:pStyle w:val="a3"/>
      </w:pPr>
      <w:r>
        <w:t>Расчет показателя стандартного отклонения акций ОАО «Транснефть» для периодов февраль 2005 г. - январь 2006 г.</w:t>
      </w:r>
    </w:p>
    <w:p w:rsidR="00E815F7" w:rsidRDefault="0088026A">
      <w:pPr>
        <w:pStyle w:val="a3"/>
      </w:pPr>
      <w:r>
        <w:t>и февраль 2011 г. - январь 2012 г.</w:t>
      </w:r>
    </w:p>
    <w:p w:rsidR="00E815F7" w:rsidRDefault="0088026A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</w:tblGrid>
      <w:tr w:rsidR="00E815F7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Порядковый номер периода (месяца)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февраль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22200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42550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март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25124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41120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апрель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26500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39970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май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29600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41020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июнь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40100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44770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июль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49000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39960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август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46100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33890</w:t>
            </w:r>
          </w:p>
        </w:tc>
      </w:tr>
      <w:tr w:rsidR="00E815F7">
        <w:trPr>
          <w:trHeight w:val="43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Порядковый номер периода (месяца)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Период 2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сентябрь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51600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39010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октябрь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68950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50400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ноябрь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68735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50000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декабрь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68600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57640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январь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63500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55300</w:t>
            </w:r>
          </w:p>
        </w:tc>
      </w:tr>
      <w:tr w:rsidR="00E815F7">
        <w:trPr>
          <w:trHeight w:val="210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средняя цена за период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46667,42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44635,83</w:t>
            </w:r>
          </w:p>
        </w:tc>
      </w:tr>
      <w:tr w:rsidR="00E815F7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:rsidR="00E815F7" w:rsidRDefault="0088026A">
            <w:r>
              <w:t>стандартное отклонение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18045,11</w:t>
            </w:r>
          </w:p>
        </w:tc>
        <w:tc>
          <w:tcPr>
            <w:tcW w:w="0" w:type="auto"/>
            <w:vAlign w:val="center"/>
            <w:hideMark/>
          </w:tcPr>
          <w:p w:rsidR="00E815F7" w:rsidRDefault="0088026A">
            <w:r>
              <w:t>7169,34</w:t>
            </w:r>
          </w:p>
        </w:tc>
      </w:tr>
    </w:tbl>
    <w:p w:rsidR="00E815F7" w:rsidRPr="0088026A" w:rsidRDefault="0088026A">
      <w:pPr>
        <w:pStyle w:val="a3"/>
      </w:pPr>
      <w:r>
        <w:t>Анализируя полученные результаты, можно сказать, что волатильность инструмента во втором периоде значительно снизилась. Снижение показателя составило более 60 %. Соответственно, можно говорить о серьезном снижении рискованности инвестиций в данную ценную бумагу.</w:t>
      </w:r>
    </w:p>
    <w:p w:rsidR="00E815F7" w:rsidRDefault="0088026A">
      <w:pPr>
        <w:pStyle w:val="a3"/>
      </w:pPr>
      <w:r>
        <w:t>Сделаем выводы из полученных в ходе исследования результатов. Во-первых, можно сказать, что бумаги предприятий нефтегазовой отрасли либо практически не изменили уровня рискованности в кризисный период по сравнению с периодом роста рынка, либо даже снизили его. Интерпретируя данные результаты, можно предположить, что снижение рискованности связано с выходом из данных бумаг большого количества спекулянтов и переходом игроков в другие секторы рынка. Бумаги предприятий металлургической отрасли, напротив, показали значительный прирост рискованности в кризисный период, что говорит о более высокой степени неопределенности в динамике их акций. Бумаги банковского сектора показали некоторое снижение волатильности и соответствующее снижение рискованно - сти инвестиций. Бумаги предприятий телекоммуникационного сектора, как и металлургических компаний, показали значительный прирост волатильности в кризисный период, и, как следствие, рост рискованности инвестиций. Интересным фактом является то, что изменение показателя стандартного отклонения для различных предприятий одной отрасли происходило практически всегда в одном направлении, что подтверждает отраслевую специализацию многих участников фондового рынка. То есть, как правило, приток или отток спекулятивного капитала происходит сразу в рамках целой отрасли экономики, а не в рамках отдельных предприятий. Учет подобной взаимозависимости динамики ценных бумаг в рамках одной отрасли может оказаться ценным инструментом в руках профессионального рыночного трейдера. Данная зависимость обязательно должна учитываться при разработке торговых стратегий.</w:t>
      </w:r>
    </w:p>
    <w:p w:rsidR="00E815F7" w:rsidRDefault="0088026A">
      <w:pPr>
        <w:pStyle w:val="a3"/>
      </w:pPr>
      <w:r>
        <w:t>Список литературы</w:t>
      </w:r>
    </w:p>
    <w:p w:rsidR="00E815F7" w:rsidRDefault="0088026A">
      <w:pPr>
        <w:pStyle w:val="a3"/>
      </w:pPr>
      <w:r>
        <w:t>Шапкин, А. С. Экономические и финансовые риски. Оценка, управление, портфель инвестиций. - 6-е изд. [Текст] / А. С. Шапкин. - М.: Дашков и К, 2007. - 544 с.: илл., табл.</w:t>
      </w:r>
    </w:p>
    <w:p w:rsidR="00E815F7" w:rsidRDefault="0088026A">
      <w:pPr>
        <w:pStyle w:val="a3"/>
      </w:pPr>
      <w:r>
        <w:t>Элдер, А. Трейдинг с доктором Элдером: энциклопедия биржевой игры [Текст] / А. Элдер. - 2-е изд., перераб. и доп. - М.: Альпина Бизнес Букс, 2008. - 488 с.: илл.</w:t>
      </w:r>
    </w:p>
    <w:p w:rsidR="00E815F7" w:rsidRDefault="0088026A">
      <w:pPr>
        <w:pStyle w:val="a3"/>
      </w:pPr>
      <w:r>
        <w:t>Элдер, А. Как играть и выигрывать на бирже [Текст] / А. Элдер. - М.: Альпина Бизнес Букс, 2007. - 349 с., илл., табл.</w:t>
      </w:r>
    </w:p>
    <w:p w:rsidR="00E815F7" w:rsidRDefault="0088026A">
      <w:pPr>
        <w:pStyle w:val="a3"/>
      </w:pPr>
      <w:r>
        <w:t>Елисеева, И. Е. Как выжить на фондовом рынке? Финансовая самозащита инвестора [Текст] / И. Е. Елисеева. - М.: Вершина, 2008. - 168 с., илл., табл.</w:t>
      </w:r>
    </w:p>
    <w:p w:rsidR="00E815F7" w:rsidRDefault="0088026A">
      <w:pPr>
        <w:pStyle w:val="a3"/>
      </w:pPr>
      <w:r>
        <w:t>Найман, Э. Малая энциклопедия трейдера. - 4-е изд., перераб. и доп. [Текст] / Э. Найман. - М.: Альпина Бизнес Букс, 2008. - 488 с.: илл., табл.</w:t>
      </w:r>
    </w:p>
    <w:p w:rsidR="00E815F7" w:rsidRDefault="0088026A">
      <w:pPr>
        <w:pStyle w:val="a3"/>
      </w:pPr>
      <w:r>
        <w:t>Винс, Р. Математика управления капиталом. Методы анализа риска для трейдеров и портфельных менеджеров [Текст] / Р. Винс. - М.: Альпина Бизнес Букс, 2007. - 402 с., илл., табл.</w:t>
      </w:r>
    </w:p>
    <w:p w:rsidR="00E815F7" w:rsidRDefault="0088026A">
      <w:pPr>
        <w:pStyle w:val="a3"/>
      </w:pPr>
      <w:r>
        <w:t>Даглас, М. Дисциплинированный трейдер: Бизнес-психология успеха [Текст] / М. Даглас. - М.: Евро, 2004. - 282 с., илл., табл.</w:t>
      </w:r>
    </w:p>
    <w:p w:rsidR="00E815F7" w:rsidRDefault="0088026A">
      <w:pPr>
        <w:pStyle w:val="a3"/>
      </w:pPr>
      <w:r>
        <w:t>Лебо, Ч., Лукас Д. Компьютерный анализ фьючерсных рынков. - М.: Альпина Бизнес Букс, 2006. - 296с., илл., табл.</w:t>
      </w:r>
    </w:p>
    <w:p w:rsidR="00E815F7" w:rsidRDefault="0088026A">
      <w:pPr>
        <w:pStyle w:val="a3"/>
      </w:pPr>
      <w:r>
        <w:t>Интернет-сайт финансовой компании ЗАО «Фи- нам», раздел «теханализ»Шр://тс^^:йтт.т/ analy- sis/profile0000300005/default. asp</w:t>
      </w:r>
      <w:bookmarkStart w:id="0" w:name="_GoBack"/>
      <w:bookmarkEnd w:id="0"/>
    </w:p>
    <w:sectPr w:rsidR="00E815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026A"/>
    <w:rsid w:val="0087484B"/>
    <w:rsid w:val="0088026A"/>
    <w:rsid w:val="00E8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48AAA-F4DE-4EDB-AB04-938456B3F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2596</Words>
  <Characters>14799</Characters>
  <Application>Microsoft Office Word</Application>
  <DocSecurity>0</DocSecurity>
  <Lines>123</Lines>
  <Paragraphs>34</Paragraphs>
  <ScaleCrop>false</ScaleCrop>
  <Company>diakov.net</Company>
  <LinksUpToDate>false</LinksUpToDate>
  <CharactersWithSpaces>17361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Стандартное отклонение как индикатор риска финансовых инструментов</dc:title>
  <dc:subject/>
  <dc:creator>Irina</dc:creator>
  <cp:keywords/>
  <dc:description/>
  <cp:lastModifiedBy>Irina</cp:lastModifiedBy>
  <cp:revision>2</cp:revision>
  <dcterms:created xsi:type="dcterms:W3CDTF">2014-08-02T19:10:00Z</dcterms:created>
  <dcterms:modified xsi:type="dcterms:W3CDTF">2014-08-02T19:10:00Z</dcterms:modified>
</cp:coreProperties>
</file>