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BE5" w:rsidRPr="00793478" w:rsidRDefault="00026BE5" w:rsidP="00026BE5">
      <w:pPr>
        <w:spacing w:before="120"/>
        <w:jc w:val="center"/>
      </w:pPr>
      <w:r w:rsidRPr="00FF090F">
        <w:rPr>
          <w:b/>
          <w:sz w:val="32"/>
        </w:rPr>
        <w:t>Некоторые проблемы оценки инвестиционной привлекательности предприятий электроэнергетики при слияниях и поглощениях (на примере оптовых генерирующих</w:t>
      </w:r>
      <w:r w:rsidRPr="00793478">
        <w:t xml:space="preserve"> </w:t>
      </w:r>
      <w:r w:rsidRPr="00FF090F">
        <w:rPr>
          <w:b/>
          <w:sz w:val="32"/>
        </w:rPr>
        <w:t>компаний)</w:t>
      </w:r>
    </w:p>
    <w:p w:rsidR="00026BE5" w:rsidRPr="00FF090F" w:rsidRDefault="00026BE5" w:rsidP="00026BE5">
      <w:pPr>
        <w:spacing w:before="120"/>
        <w:jc w:val="center"/>
        <w:rPr>
          <w:sz w:val="28"/>
        </w:rPr>
      </w:pPr>
      <w:r w:rsidRPr="00FF090F">
        <w:rPr>
          <w:sz w:val="28"/>
        </w:rPr>
        <w:t xml:space="preserve">Е. В. Синицын, А. В. Стерхов 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 ранее опубликованной статье [10] авторами был приведен алгоритм расчета достигнутой стоимости предприятий</w:t>
      </w:r>
      <w:r>
        <w:t xml:space="preserve">, </w:t>
      </w:r>
      <w:r w:rsidRPr="00793478">
        <w:t>относящихся к сфере электроэнергетики. Было показано</w:t>
      </w:r>
      <w:r>
        <w:t xml:space="preserve">, </w:t>
      </w:r>
      <w:r w:rsidRPr="00793478">
        <w:t>что основными факторами</w:t>
      </w:r>
      <w:r>
        <w:t xml:space="preserve">, </w:t>
      </w:r>
      <w:r w:rsidRPr="00793478">
        <w:t>определяющими достигнутую стоимость компании</w:t>
      </w:r>
      <w:r>
        <w:t xml:space="preserve">, </w:t>
      </w:r>
      <w:r w:rsidRPr="00793478">
        <w:t>являются объем производственных активов по первоначальной стоимости</w:t>
      </w:r>
      <w:r>
        <w:t xml:space="preserve">, </w:t>
      </w:r>
      <w:r w:rsidRPr="00793478">
        <w:t>рентабельность активов ROAA и средневзвешенная стоимость капитала.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Одним из способов увеличения инвестиционной привлекательности компании и роста ее достигнутой стоимости является присоединение активов путем слияний или поглощений. Кроме того</w:t>
      </w:r>
      <w:r>
        <w:t xml:space="preserve">, </w:t>
      </w:r>
      <w:r w:rsidRPr="00793478">
        <w:t>слияния и поглощения позволяют увеличить рыночную стоимость фирмы.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По мнению Стэнли Фостера Рида</w:t>
      </w:r>
      <w:r>
        <w:t xml:space="preserve">, </w:t>
      </w:r>
      <w:r w:rsidRPr="00793478">
        <w:t>термин «поглощение» является более общим по сравнению с термином «слияние» [9</w:t>
      </w:r>
      <w:r>
        <w:t xml:space="preserve">, </w:t>
      </w:r>
      <w:r w:rsidRPr="00793478">
        <w:t>23–24]. Поглощение означает передачу собственности. Поглощение может быть проведено в форме сделки</w:t>
      </w:r>
      <w:r>
        <w:t xml:space="preserve">, </w:t>
      </w:r>
      <w:r w:rsidRPr="00793478">
        <w:t>предполагающей покупку акций или активов. Слияние — более узкий термин</w:t>
      </w:r>
      <w:r>
        <w:t xml:space="preserve">, </w:t>
      </w:r>
      <w:r w:rsidRPr="00793478">
        <w:t>описывающий юридическую процедуру</w:t>
      </w:r>
      <w:r>
        <w:t xml:space="preserve">, </w:t>
      </w:r>
      <w:r w:rsidRPr="00793478">
        <w:t>при которой одна корпорация соединяется с другой и растворяется в ней [Там же</w:t>
      </w:r>
      <w:r>
        <w:t xml:space="preserve">, </w:t>
      </w:r>
      <w:r w:rsidRPr="00793478">
        <w:t>24].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Часто имеет место поглощение активов компании</w:t>
      </w:r>
      <w:r>
        <w:t xml:space="preserve">, </w:t>
      </w:r>
      <w:r w:rsidRPr="00793478">
        <w:t>при котором не происходит их последующего слияния [Там же</w:t>
      </w:r>
      <w:r>
        <w:t xml:space="preserve">, </w:t>
      </w:r>
      <w:r w:rsidRPr="00793478">
        <w:t>25]. В качестве примера можно привести покупку пакетов акций оптовых генерирующих компаний иностранными стратегическими инвесторами (так</w:t>
      </w:r>
      <w:r>
        <w:t xml:space="preserve">, </w:t>
      </w:r>
      <w:r w:rsidRPr="00793478">
        <w:t>пакет акций ОГК-5 был приобретен корпорацией Enel). В данном случае объединение активов не означает объединения юридических лиц.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 данной статье будут оценены перспективы слияний оптовых генерирующих компаний (ОГК) с точки зрения увеличения их достигнутой стоимости</w:t>
      </w:r>
      <w:r>
        <w:t xml:space="preserve">, </w:t>
      </w:r>
      <w:r w:rsidRPr="00793478">
        <w:t>являющейся основным показателем</w:t>
      </w:r>
      <w:r>
        <w:t xml:space="preserve">, </w:t>
      </w:r>
      <w:r w:rsidRPr="00793478">
        <w:t>характеризующим текущую стоимость будущих доходов фирмы.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 настоящий момент можно выделить следующие предпосылки слияний и поглощений в российской электроэнергетике.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Во-первых</w:t>
      </w:r>
      <w:r>
        <w:t xml:space="preserve">, </w:t>
      </w:r>
      <w:r w:rsidRPr="00793478">
        <w:t>при выделении из состава РАО «ЕЭС России» генерирующих компаний оптового рынка электроэнергии состав их активов был определен преимущественно исходя из технологического критерия: получения каждой вновь созданной компанией генерирующих активов примерно одинаковой суммарной установленной мощности. Предполагалось</w:t>
      </w:r>
      <w:r>
        <w:t xml:space="preserve">, </w:t>
      </w:r>
      <w:r w:rsidRPr="00793478">
        <w:t>что результатом будет создание условий для конкуренции между компаниями. В результате в собственности компаний оказались ГРЭС</w:t>
      </w:r>
      <w:r>
        <w:t xml:space="preserve">, </w:t>
      </w:r>
      <w:r w:rsidRPr="00793478">
        <w:t>расположенные в различных регионах России. Такой подход к формированию состава активов не имеет ничего общего с критериями максимизации прибыли или достигнутой стоимости компаний.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Во-вторых</w:t>
      </w:r>
      <w:r>
        <w:t xml:space="preserve">, </w:t>
      </w:r>
      <w:r w:rsidRPr="00793478">
        <w:t>в результате проведения дополнительных эмиссий у ряда компаний появились значительные свободные денежные средства</w:t>
      </w:r>
      <w:r>
        <w:t xml:space="preserve">, </w:t>
      </w:r>
      <w:r w:rsidRPr="00793478">
        <w:t xml:space="preserve">которые предполагается использовать для создания новых генерирующих мощностей. Однако в условиях снижения энергопотребления в России с ноября </w:t>
      </w:r>
      <w:smartTag w:uri="urn:schemas-microsoft-com:office:smarttags" w:element="metricconverter">
        <w:smartTagPr>
          <w:attr w:name="ProductID" w:val="2008 г"/>
        </w:smartTagPr>
        <w:r w:rsidRPr="00793478">
          <w:t>2008 г</w:t>
        </w:r>
      </w:smartTag>
      <w:r w:rsidRPr="00793478">
        <w:t>. возникает вопрос о целесообразности создания новых мощностей. После начала кризисных явлений в мировой и российской экономике для ОГК приобретение существующих мощностей может оказаться выгоднее строительства новых.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В-третьих</w:t>
      </w:r>
      <w:r>
        <w:t xml:space="preserve">, </w:t>
      </w:r>
      <w:r w:rsidRPr="00793478">
        <w:t>либерализация рынка электроэнергии позволяет увеличить доходы генерирующих компаний за счет продажи электроэнергии по ценам свободного рынка. В данном контексте закономерным выглядит объединение компаний</w:t>
      </w:r>
      <w:r>
        <w:t xml:space="preserve">, </w:t>
      </w:r>
      <w:r w:rsidRPr="00793478">
        <w:t>имеющих активы</w:t>
      </w:r>
      <w:r>
        <w:t xml:space="preserve">, </w:t>
      </w:r>
      <w:r w:rsidRPr="00793478">
        <w:t>расположенные в одной объединенной энергетической системе (ОЭС)</w:t>
      </w:r>
      <w:r>
        <w:t xml:space="preserve">, </w:t>
      </w:r>
      <w:r w:rsidRPr="00793478">
        <w:t>поскольку в данном случае компания может увеличить свою рыночную власть.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Наконец</w:t>
      </w:r>
      <w:r>
        <w:t xml:space="preserve">, </w:t>
      </w:r>
      <w:r w:rsidRPr="00793478">
        <w:t>необходимо принять во внимание и то</w:t>
      </w:r>
      <w:r>
        <w:t xml:space="preserve">, </w:t>
      </w:r>
      <w:r w:rsidRPr="00793478">
        <w:t>что сама «распаковка» РАО ЕЭС в значительной степени</w:t>
      </w:r>
      <w:r>
        <w:t xml:space="preserve">, </w:t>
      </w:r>
      <w:r w:rsidRPr="00793478">
        <w:t xml:space="preserve">проводилась под лозунгом обеспечения инвестиционной привлекательности отрасли с целью мобилизации необходимых средств для ее технологического перевооружения и создания дополнительных мощностей. 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 соответствии с вышеизложенным определение направления возможных процессов слияний и поглощений после произведенного «распаковкой» старта рыночных процессов в генерирующей электроэнергетике представляется актуальным.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Обратимся к оценке допустимости слияний ОГК с точки зрения российского антимонопольного законодательства.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Исходя из Федерального закона «О защите конкуренции»</w:t>
      </w:r>
      <w:r>
        <w:t xml:space="preserve">, </w:t>
      </w:r>
      <w:r w:rsidRPr="00793478">
        <w:t>«не может быть признано доминирующим положение хозяйствующего субъекта… доля которого на рынке определенного товара не превышает тридцать пять процентов…» [11</w:t>
      </w:r>
      <w:r>
        <w:t xml:space="preserve">, </w:t>
      </w:r>
      <w:r w:rsidRPr="00793478">
        <w:t>ст. 5]. Нормативный акт предусматривает</w:t>
      </w:r>
      <w:r>
        <w:t xml:space="preserve">, </w:t>
      </w:r>
      <w:r w:rsidRPr="00793478">
        <w:t>что в случае</w:t>
      </w:r>
      <w:r>
        <w:t xml:space="preserve">, </w:t>
      </w:r>
      <w:r w:rsidRPr="00793478">
        <w:t>если «реализуемый или приобретаемый хозяйствующими субъектами товар не может быть заменен другим товаром при потреблении» [11</w:t>
      </w:r>
      <w:r>
        <w:t xml:space="preserve">, </w:t>
      </w:r>
      <w:r w:rsidRPr="00793478">
        <w:t>ст. 5]</w:t>
      </w:r>
      <w:r>
        <w:t xml:space="preserve">, </w:t>
      </w:r>
      <w:r w:rsidRPr="00793478">
        <w:t>положение хозяйствующего субъекта может быть признано доминирующим и при доле на рынке менее 35 %. Можно утверждать</w:t>
      </w:r>
      <w:r>
        <w:t xml:space="preserve">, </w:t>
      </w:r>
      <w:r w:rsidRPr="00793478">
        <w:t>что данная правовая норма не может быть применена для оптовых генерирующих компаний</w:t>
      </w:r>
      <w:r>
        <w:t xml:space="preserve">, </w:t>
      </w:r>
      <w:r w:rsidRPr="00793478">
        <w:t>поскольку у потребителей существует возможность выбора поставщика на оптовом рынке электроэнергии.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 табл. 1 приведены данные о рыночных долях оптовых ОГК</w:t>
      </w:r>
      <w:r>
        <w:t xml:space="preserve">, </w:t>
      </w:r>
      <w:r w:rsidRPr="00793478">
        <w:t xml:space="preserve">рассчитанных на основе данных по выработке электроэнергии в </w:t>
      </w:r>
      <w:smartTag w:uri="urn:schemas-microsoft-com:office:smarttags" w:element="metricconverter">
        <w:smartTagPr>
          <w:attr w:name="ProductID" w:val="2008 г"/>
        </w:smartTagPr>
        <w:r w:rsidRPr="00793478">
          <w:t>2008 г</w:t>
        </w:r>
      </w:smartTag>
      <w:r w:rsidRPr="00793478">
        <w:t>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 xml:space="preserve">Таблица 1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8"/>
        <w:gridCol w:w="1174"/>
        <w:gridCol w:w="1216"/>
        <w:gridCol w:w="1174"/>
        <w:gridCol w:w="1174"/>
        <w:gridCol w:w="1174"/>
        <w:gridCol w:w="1168"/>
      </w:tblGrid>
      <w:tr w:rsidR="00026BE5" w:rsidRPr="00793478" w:rsidTr="0007754F">
        <w:trPr>
          <w:tblHeader/>
          <w:tblCellSpacing w:w="0" w:type="dxa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6BE5" w:rsidRPr="00793478" w:rsidRDefault="00026BE5" w:rsidP="0007754F">
            <w:r w:rsidRPr="00793478">
              <w:t>Данные о рыночных долях ОГК на рынке электроэнергии (2008)*</w:t>
            </w:r>
          </w:p>
        </w:tc>
      </w:tr>
      <w:tr w:rsidR="00026BE5" w:rsidRPr="00793478" w:rsidTr="0007754F">
        <w:trPr>
          <w:tblHeader/>
          <w:tblCellSpacing w:w="0" w:type="dxa"/>
        </w:trPr>
        <w:tc>
          <w:tcPr>
            <w:tcW w:w="1327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Наименование показателя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ОГК-1</w:t>
            </w:r>
          </w:p>
        </w:tc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ОГК-2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ОГК-3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ОГК-4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ОГК-5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ОГК-6</w:t>
            </w:r>
          </w:p>
        </w:tc>
      </w:tr>
      <w:tr w:rsidR="00026BE5" w:rsidRPr="00793478" w:rsidTr="0007754F">
        <w:trPr>
          <w:tblCellSpacing w:w="0" w:type="dxa"/>
        </w:trPr>
        <w:tc>
          <w:tcPr>
            <w:tcW w:w="1327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Выработка электроэнергии</w:t>
            </w:r>
            <w:r>
              <w:t xml:space="preserve">, </w:t>
            </w:r>
            <w:r w:rsidRPr="00793478">
              <w:t>млн кВт ч</w:t>
            </w:r>
            <w:r>
              <w:t xml:space="preserve">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50 075</w:t>
            </w:r>
            <w:r>
              <w:t xml:space="preserve"> </w:t>
            </w:r>
          </w:p>
        </w:tc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48 022</w:t>
            </w:r>
            <w:r>
              <w:t xml:space="preserve">, </w:t>
            </w:r>
            <w:r w:rsidRPr="00793478">
              <w:t>1</w:t>
            </w:r>
            <w:r>
              <w:t xml:space="preserve">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32 111</w:t>
            </w:r>
            <w:r>
              <w:t xml:space="preserve">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54 244</w:t>
            </w:r>
            <w:r>
              <w:t xml:space="preserve">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38 379</w:t>
            </w:r>
            <w:r>
              <w:t xml:space="preserve">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34 065</w:t>
            </w:r>
            <w:r>
              <w:t xml:space="preserve"> </w:t>
            </w:r>
          </w:p>
        </w:tc>
      </w:tr>
      <w:tr w:rsidR="00026BE5" w:rsidRPr="00793478" w:rsidTr="0007754F">
        <w:trPr>
          <w:tblCellSpacing w:w="0" w:type="dxa"/>
        </w:trPr>
        <w:tc>
          <w:tcPr>
            <w:tcW w:w="1327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Доля на рынке</w:t>
            </w:r>
            <w:r>
              <w:t xml:space="preserve">, </w:t>
            </w:r>
            <w:r w:rsidRPr="00793478">
              <w:t>%</w:t>
            </w:r>
            <w:r>
              <w:t xml:space="preserve">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6</w:t>
            </w:r>
            <w:r>
              <w:t xml:space="preserve">, </w:t>
            </w:r>
            <w:r w:rsidRPr="00793478">
              <w:t>54</w:t>
            </w:r>
            <w:r>
              <w:t xml:space="preserve"> </w:t>
            </w:r>
          </w:p>
        </w:tc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6</w:t>
            </w:r>
            <w:r>
              <w:t xml:space="preserve">, </w:t>
            </w:r>
            <w:r w:rsidRPr="00793478">
              <w:t>28</w:t>
            </w:r>
            <w:r>
              <w:t xml:space="preserve">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4</w:t>
            </w:r>
            <w:r>
              <w:t xml:space="preserve">, </w:t>
            </w:r>
            <w:r w:rsidRPr="00793478">
              <w:t>24</w:t>
            </w:r>
            <w:r>
              <w:t xml:space="preserve">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6</w:t>
            </w:r>
            <w:r>
              <w:t xml:space="preserve">, </w:t>
            </w:r>
            <w:r w:rsidRPr="00793478">
              <w:t>92</w:t>
            </w:r>
            <w:r>
              <w:t xml:space="preserve">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5</w:t>
            </w:r>
            <w:r>
              <w:t xml:space="preserve">, </w:t>
            </w:r>
            <w:r w:rsidRPr="00793478">
              <w:t>42</w:t>
            </w:r>
            <w:r>
              <w:t xml:space="preserve"> </w:t>
            </w:r>
          </w:p>
        </w:tc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26BE5" w:rsidRPr="00793478" w:rsidRDefault="00026BE5" w:rsidP="0007754F">
            <w:r w:rsidRPr="00793478">
              <w:t>4</w:t>
            </w:r>
            <w:r>
              <w:t xml:space="preserve">, </w:t>
            </w:r>
            <w:r w:rsidRPr="00793478">
              <w:t>86</w:t>
            </w:r>
            <w:r>
              <w:t xml:space="preserve"> </w:t>
            </w:r>
          </w:p>
        </w:tc>
      </w:tr>
    </w:tbl>
    <w:p w:rsidR="00026BE5" w:rsidRPr="00793478" w:rsidRDefault="00026BE5" w:rsidP="00026BE5">
      <w:pPr>
        <w:spacing w:before="120"/>
        <w:ind w:firstLine="567"/>
        <w:jc w:val="both"/>
      </w:pPr>
      <w:r>
        <w:t xml:space="preserve"> 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* Источники: [3–8]</w:t>
      </w:r>
      <w:r>
        <w:t xml:space="preserve">, </w:t>
      </w:r>
      <w:r w:rsidRPr="00793478">
        <w:t>расчеты авторов.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Таким образом</w:t>
      </w:r>
      <w:r>
        <w:t xml:space="preserve">, </w:t>
      </w:r>
      <w:r w:rsidRPr="00793478">
        <w:t>ни одна из ОГК на настоящий момент не имеет рыночной доли</w:t>
      </w:r>
      <w:r>
        <w:t xml:space="preserve">, </w:t>
      </w:r>
      <w:r w:rsidRPr="00793478">
        <w:t>превышающей 35 %. Слияния между данными компаниями вероятнее всего будут одобрены антимонопольными органами.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Допустимы подобные слияния и с точки зрения показателей концентрации</w:t>
      </w:r>
      <w:r>
        <w:t xml:space="preserve">, </w:t>
      </w:r>
      <w:r w:rsidRPr="00793478">
        <w:t>принятых в микроэкономике. По нашим расчетам</w:t>
      </w:r>
      <w:r>
        <w:t xml:space="preserve">, </w:t>
      </w:r>
      <w:r w:rsidRPr="00793478">
        <w:t>значение индекса Хиршмана—Херфиндаля</w:t>
      </w:r>
      <w:r>
        <w:t xml:space="preserve">, </w:t>
      </w:r>
      <w:r w:rsidRPr="00793478">
        <w:t>представляющего собой сумму квадратов рыночных долей фирм</w:t>
      </w:r>
      <w:r>
        <w:t xml:space="preserve">, </w:t>
      </w:r>
      <w:r w:rsidRPr="00793478">
        <w:t>для указанного рынка в настоящий момент составляет 909</w:t>
      </w:r>
      <w:r>
        <w:t xml:space="preserve">, </w:t>
      </w:r>
      <w:r w:rsidRPr="00793478">
        <w:t>55 пункта</w:t>
      </w:r>
      <w:r>
        <w:t xml:space="preserve">, </w:t>
      </w:r>
      <w:r w:rsidRPr="00793478">
        <w:t>что в американской практике означает «достаточно немногочисленный» рынок</w:t>
      </w:r>
      <w:r>
        <w:t xml:space="preserve">, </w:t>
      </w:r>
      <w:r w:rsidRPr="00793478">
        <w:t>т. е. такой рынок</w:t>
      </w:r>
      <w:r>
        <w:t xml:space="preserve">, </w:t>
      </w:r>
      <w:r w:rsidRPr="00793478">
        <w:t>на котором допускаются слияния и поглощения [11</w:t>
      </w:r>
      <w:r>
        <w:t xml:space="preserve">, </w:t>
      </w:r>
      <w:r w:rsidRPr="00793478">
        <w:t>171].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Процесс слияния компаний состоит из следующих этапов: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1)планирование;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2)поиск и оценка;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3)структурирование;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4)анализ и переговоры по выработке соглашения о поглощении к исполнению [9</w:t>
      </w:r>
      <w:r>
        <w:t xml:space="preserve">, </w:t>
      </w:r>
      <w:r w:rsidRPr="00793478">
        <w:t>27].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На этапе планирования потенциальный покупатель определяет характеристики компании</w:t>
      </w:r>
      <w:r>
        <w:t xml:space="preserve">, </w:t>
      </w:r>
      <w:r w:rsidRPr="00793478">
        <w:t>которая может стать выгодным объектом для объединения. Основная цель для такого покупателя — расширение и развитие собственного бизнеса [Там же</w:t>
      </w:r>
      <w:r>
        <w:t xml:space="preserve">, </w:t>
      </w:r>
      <w:r w:rsidRPr="00793478">
        <w:t>29].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На этапе поиска и оценки отбираются подходящие кандидаты для проведения слияния и поглощения</w:t>
      </w:r>
      <w:r>
        <w:t xml:space="preserve">, </w:t>
      </w:r>
      <w:r w:rsidRPr="00793478">
        <w:t>а также определяется цена сделки. При этом цена сделки очень часто отличается от текущей рыночной котировки акций. Для определения цены сделки в большинстве случаев привлекают независимого оценщика. Считается</w:t>
      </w:r>
      <w:r>
        <w:t xml:space="preserve">, </w:t>
      </w:r>
      <w:r w:rsidRPr="00793478">
        <w:t>что его задача состоит в определении справедливой рыночной стоимости компании [9</w:t>
      </w:r>
      <w:r>
        <w:t xml:space="preserve">, </w:t>
      </w:r>
      <w:r w:rsidRPr="00793478">
        <w:t>88]. Оценка достигнутой стоимости компании EV соответствует понятию справедливой рыночной стоимости</w:t>
      </w:r>
      <w:r>
        <w:t xml:space="preserve">, </w:t>
      </w:r>
      <w:r w:rsidRPr="00793478">
        <w:t>поскольку отражает текущую стоимость будущих доходов компании при условии неизменности основных показателей ее деятельности.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Финансирование сделки может происходить путем оплаты денежными средствами</w:t>
      </w:r>
      <w:r>
        <w:t xml:space="preserve">, </w:t>
      </w:r>
      <w:r w:rsidRPr="00793478">
        <w:t>векселями или акциями [Там же</w:t>
      </w:r>
      <w:r>
        <w:t xml:space="preserve">, </w:t>
      </w:r>
      <w:r w:rsidRPr="00793478">
        <w:t>141].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На этапе структурирования сделки определяется юридическая форма сделки (продажа акций</w:t>
      </w:r>
      <w:r>
        <w:t xml:space="preserve">, </w:t>
      </w:r>
      <w:r w:rsidRPr="00793478">
        <w:t>передача акций</w:t>
      </w:r>
      <w:r>
        <w:t xml:space="preserve">, </w:t>
      </w:r>
      <w:r w:rsidRPr="00793478">
        <w:t>различные формы слияний и т. п.). Выбор подходящей юридической формы сделки зависит</w:t>
      </w:r>
      <w:r>
        <w:t xml:space="preserve">, </w:t>
      </w:r>
      <w:r w:rsidRPr="00793478">
        <w:t>в частности</w:t>
      </w:r>
      <w:r>
        <w:t xml:space="preserve">, </w:t>
      </w:r>
      <w:r w:rsidRPr="00793478">
        <w:t>от юридических</w:t>
      </w:r>
      <w:r>
        <w:t xml:space="preserve">, </w:t>
      </w:r>
      <w:r w:rsidRPr="00793478">
        <w:t>бухгалтерских и налоговых последствий данной сделки [Там же</w:t>
      </w:r>
      <w:r>
        <w:t xml:space="preserve">, </w:t>
      </w:r>
      <w:r w:rsidRPr="00793478">
        <w:t>245].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На этапе анализа и переговоров проводится процедура «дью дилидженс» (due diligence)</w:t>
      </w:r>
      <w:r>
        <w:t xml:space="preserve">, </w:t>
      </w:r>
      <w:r w:rsidRPr="00793478">
        <w:t>основное содержание которой состоит в оценке выгод и обязательств предполагаемого поглощения путем анализа прошлого</w:t>
      </w:r>
      <w:r>
        <w:t xml:space="preserve">, </w:t>
      </w:r>
      <w:r w:rsidRPr="00793478">
        <w:t>настоящего и прогнозируемого будущего приобретаемого бизнеса [Там же</w:t>
      </w:r>
      <w:r>
        <w:t xml:space="preserve">, </w:t>
      </w:r>
      <w:r w:rsidRPr="00793478">
        <w:t>335].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Для более точной оценки потенциала изменения рыночной стоимости необходимо анализировать возможные действия конкурентов в отрасли и оценивать стабильность достигнутого в результате слияний равновесия компаний на рынке. Последнее определяется паритетом относительной силы компаний в процессах слияния и поглощения. Определение данного понятия и является одной из задач настоящей работы. При этом для определения направления</w:t>
      </w:r>
      <w:r>
        <w:t xml:space="preserve">, </w:t>
      </w:r>
      <w:r w:rsidRPr="00793478">
        <w:t>в котором будут протекать слияния и поглощения и выявления возможных возникающих стабильных конфигураций компаний на рынке могут использоваться методы</w:t>
      </w:r>
      <w:r>
        <w:t xml:space="preserve">, </w:t>
      </w:r>
      <w:r w:rsidRPr="00793478">
        <w:t>развиваемые в работе [12].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Сформулируем основные положения методики</w:t>
      </w:r>
      <w:r>
        <w:t xml:space="preserve">, </w:t>
      </w:r>
      <w:r w:rsidRPr="00793478">
        <w:t>с помощью которых данная относительная сила (потенциал) компании в процессах слияния и поглощения может быть определена на основании ключевых параметров ее деятельности. Это позволит определить привлекательность компании как объекта слияния и выявить потенциал роста достигнутой стоимости объединенной компании.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Основные этапы оценки относительного потенциала компаний при слияниях: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1)выбор компаний — инициаторов слияния (компаний</w:t>
      </w:r>
      <w:r>
        <w:t xml:space="preserve">, </w:t>
      </w:r>
      <w:r w:rsidRPr="00793478">
        <w:t>которые могут осуществлять слияния);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2)выбор компаний — объектов слияния;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3)определение состава активов новых компаний (определение новых компаний</w:t>
      </w:r>
      <w:r>
        <w:t xml:space="preserve">, </w:t>
      </w:r>
      <w:r w:rsidRPr="00793478">
        <w:t>состоящих из компании-лидера и объекта слияния);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4)оценка достигнутой стоимости объединенной компании;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5)оценка устойчивости равновесия в отрасли после слияния.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 случае если достигнутое равновесие не является устойчивым (т. е. можно выделить новых инициаторов</w:t>
      </w:r>
      <w:r>
        <w:t xml:space="preserve">, </w:t>
      </w:r>
      <w:r w:rsidRPr="00793478">
        <w:t>обладающих необходимым потенциалом</w:t>
      </w:r>
      <w:r>
        <w:t xml:space="preserve">, </w:t>
      </w:r>
      <w:r w:rsidRPr="00793478">
        <w:t>и соответствующие объекты слияния)</w:t>
      </w:r>
      <w:r>
        <w:t xml:space="preserve">, </w:t>
      </w:r>
      <w:r w:rsidRPr="00793478">
        <w:t>необходимо вернуться к первому этапу. Таким образом</w:t>
      </w:r>
      <w:r>
        <w:t xml:space="preserve">, </w:t>
      </w:r>
      <w:r w:rsidRPr="00793478">
        <w:t>схема может иметь несколько итераций (циклов).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На первом этапе (выбор инициаторов слияния) проводится сравнение достигнутых стоимостей компаний</w:t>
      </w:r>
      <w:r>
        <w:t xml:space="preserve">, </w:t>
      </w:r>
      <w:r w:rsidRPr="00793478">
        <w:t>действующих в отрасли. Инициаторами слияний становятся компании с наиболее высокой достигнутой стоимостью. Достигнутая стоимость компании</w:t>
      </w:r>
      <w:r>
        <w:t xml:space="preserve">, </w:t>
      </w:r>
      <w:r w:rsidRPr="00793478">
        <w:t>как было отмечено в [10]</w:t>
      </w:r>
      <w:r>
        <w:t xml:space="preserve">, </w:t>
      </w:r>
      <w:r w:rsidRPr="00793478">
        <w:t>является показателем</w:t>
      </w:r>
      <w:r>
        <w:t xml:space="preserve">, </w:t>
      </w:r>
      <w:r w:rsidRPr="00793478">
        <w:t>характеризующим текущую стоимость будущих доходов компании. Именно достигнутая стоимость компании отражает эффективность усилий управляющих ею менеджеров.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Учитывая такое превалирование фактора достигнутой стоимости компании при оценке ее деятельности</w:t>
      </w:r>
      <w:r>
        <w:t xml:space="preserve">, </w:t>
      </w:r>
      <w:r w:rsidRPr="00793478">
        <w:t>можно предположить</w:t>
      </w:r>
      <w:r>
        <w:t xml:space="preserve">, </w:t>
      </w:r>
      <w:r w:rsidRPr="00793478">
        <w:t>что именно достигнутая стоимость является наиболее адекватным измерителем относительного потенциала компании при слияниях и поглощениях. Иными словами</w:t>
      </w:r>
      <w:r>
        <w:t xml:space="preserve">, </w:t>
      </w:r>
      <w:r w:rsidRPr="00793478">
        <w:t>компания с более высокой достигнутой стоимостью обладает большим потенциалом для поглощения компании с более низкой стоимостью и соответственно имеет более сильные позиции при ведении соответствующих переговоров.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На втором этапе (при выборе поглощаемой компании) необходимо учитывать как технологические</w:t>
      </w:r>
      <w:r>
        <w:t xml:space="preserve">, </w:t>
      </w:r>
      <w:r w:rsidRPr="00793478">
        <w:t>так и экономические характеристики. Для генерирующих компаний к технологическим характеристикам можно отнести прежде всего географическое расположение активов</w:t>
      </w:r>
      <w:r>
        <w:t xml:space="preserve">, </w:t>
      </w:r>
      <w:r w:rsidRPr="00793478">
        <w:t>а также уровень их износа. Очевидно</w:t>
      </w:r>
      <w:r>
        <w:t xml:space="preserve">, </w:t>
      </w:r>
      <w:r w:rsidRPr="00793478">
        <w:t>что синергетический эффект от объединения активов будет существенно меньше при нахождении объединяемых активов в различных энергетических системах.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К экономическим характеристикам необходимо отнести достигнутую стоимость компаний EV и рентабельность активов ROAA. Присоединяющая компания должна иметь бóльшую достигнутую стоимость</w:t>
      </w:r>
      <w:r>
        <w:t xml:space="preserve">, </w:t>
      </w:r>
      <w:r w:rsidRPr="00793478">
        <w:t>чем присоединяемая компания.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Введем следующее допущение: компания стремится присоединять активы</w:t>
      </w:r>
      <w:r>
        <w:t xml:space="preserve">, </w:t>
      </w:r>
      <w:r w:rsidRPr="00793478">
        <w:t>обеспечивающие более высокую величину ROAA. Очевидно</w:t>
      </w:r>
      <w:r>
        <w:t xml:space="preserve">, </w:t>
      </w:r>
      <w:r w:rsidRPr="00793478">
        <w:t>что присоединение более рентабельных активов</w:t>
      </w:r>
      <w:r>
        <w:t xml:space="preserve">, </w:t>
      </w:r>
      <w:r w:rsidRPr="00793478">
        <w:t>даже в отсутствие синергетического эффекта</w:t>
      </w:r>
      <w:r>
        <w:t xml:space="preserve">, </w:t>
      </w:r>
      <w:r w:rsidRPr="00793478">
        <w:t>выгодно</w:t>
      </w:r>
      <w:r>
        <w:t xml:space="preserve">, </w:t>
      </w:r>
      <w:r w:rsidRPr="00793478">
        <w:t>поскольку в этом случае рентабельность активов вновь созданной компании будет выше</w:t>
      </w:r>
      <w:r>
        <w:t xml:space="preserve">, </w:t>
      </w:r>
      <w:r w:rsidRPr="00793478">
        <w:t>чем рентабельность активов присоединяющей компании.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На третьем этапе (определение состава активов новых компаний) компании — инициаторы слияния выбирают объекты слияния.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Будем основываться на следующем естественном предположении о выборе объектов слияния: наиболее крупная компания-инициатор выбирает в качестве объекта поглощения компанию с наиболее высоким ROAA. Следующая по величине стоимости компания — инициатор слияния выбирает среди оставшихся компаний также компанию с наиболее высокой ROAA и т. д.</w:t>
      </w:r>
      <w:r>
        <w:t xml:space="preserve">, </w:t>
      </w:r>
      <w:r w:rsidRPr="00793478">
        <w:t>до тех пор</w:t>
      </w:r>
      <w:r>
        <w:t xml:space="preserve">, </w:t>
      </w:r>
      <w:r w:rsidRPr="00793478">
        <w:t>пока будет можно составлять комбинации компаний</w:t>
      </w:r>
      <w:r>
        <w:t xml:space="preserve">, </w:t>
      </w:r>
      <w:r w:rsidRPr="00793478">
        <w:t>соответствующие указанным выше требованиям. Такой механизм выбора не противоречит принципам рационального поведения: наиболее крупная компания (компания с максимальной достигнутой стоимостью и соответственно с наибольшим потенциалом для проведения слияний и поглощений) выбирает в качестве объекта самую эффективную (в смысле величины ROAA) из имеющихся фирм. Компания со следующим по величине потенциалом выбирает наиболее привлекательную из оставшихся и т. д.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Приведем графическую иллюстрацию данного рассуждения (рис. 1).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Итак</w:t>
      </w:r>
      <w:r>
        <w:t xml:space="preserve">, </w:t>
      </w:r>
      <w:r w:rsidRPr="00793478">
        <w:t>компания с наибольшей капитализацией — ОГК-3. Данной компании целесообразно выбрать для поглощения ОГК-6 как компанию</w:t>
      </w:r>
      <w:r>
        <w:t xml:space="preserve">, </w:t>
      </w:r>
      <w:r w:rsidRPr="00793478">
        <w:t>имеющую наибольшую рентабельность активов. Следующая пара компаний — ОГК-4 и ОГК-1</w:t>
      </w:r>
      <w:r>
        <w:t xml:space="preserve">, </w:t>
      </w:r>
      <w:r w:rsidRPr="00793478">
        <w:t>ОГК-2 — не будет проводить слияние с ОГК-5</w:t>
      </w:r>
      <w:r>
        <w:t xml:space="preserve">, </w:t>
      </w:r>
      <w:r w:rsidRPr="00793478">
        <w:t>так как данная компания имеет меньшую рентабельность.</w:t>
      </w:r>
    </w:p>
    <w:p w:rsidR="00026BE5" w:rsidRPr="00793478" w:rsidRDefault="00B93ECA" w:rsidP="00026BE5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98.25pt;height:264pt">
            <v:imagedata r:id="rId4" o:title=""/>
          </v:shape>
        </w:pic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Для удобства будем обозначать название новой компании следующим образом: «Фирма x + y»</w:t>
      </w:r>
      <w:r>
        <w:t xml:space="preserve">, </w:t>
      </w:r>
      <w:r w:rsidRPr="00793478">
        <w:t>где x — номер фирмы — инициатора поглощения</w:t>
      </w:r>
      <w:r>
        <w:t xml:space="preserve">, </w:t>
      </w:r>
      <w:r w:rsidRPr="00793478">
        <w:t>y — номер поглощаемой фирмы. В результате первой итерации в отрасли образуются две новые компании — ОГК-«3+6» и ОГК-«4+1».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На четвертом этапе производится оценка достигнутой стоимости созданной компании. Для проведения подобной оценки можно воспользоваться методом</w:t>
      </w:r>
      <w:r>
        <w:t xml:space="preserve">, </w:t>
      </w:r>
      <w:r w:rsidRPr="00793478">
        <w:t>предложенным в [10]</w:t>
      </w:r>
      <w:r>
        <w:t xml:space="preserve">, </w:t>
      </w:r>
      <w:r w:rsidRPr="00793478">
        <w:t>разработанным на основе подхода к оценке стоимости компании</w:t>
      </w:r>
      <w:r>
        <w:t xml:space="preserve">, </w:t>
      </w:r>
      <w:r w:rsidRPr="00793478">
        <w:t>изложенного в работе В. Т. Битюцких [1]. Объем производственных активов компаний</w:t>
      </w:r>
      <w:r>
        <w:t xml:space="preserve">, </w:t>
      </w:r>
      <w:r w:rsidRPr="00793478">
        <w:t>амортизация и WACC определяются по данным финансовой отчетности по методу</w:t>
      </w:r>
      <w:r>
        <w:t xml:space="preserve">, </w:t>
      </w:r>
      <w:r w:rsidRPr="00793478">
        <w:t>описанному в [10]</w:t>
      </w:r>
      <w:r>
        <w:t xml:space="preserve">, </w:t>
      </w:r>
      <w:r w:rsidRPr="00793478">
        <w:t>при этом финансовая отчетность объединенной компании формируется в соответствии со стандартными правилами построения консолидированной отчетности.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Предполагается</w:t>
      </w:r>
      <w:r>
        <w:t xml:space="preserve">, </w:t>
      </w:r>
      <w:r w:rsidRPr="00793478">
        <w:t>что распространение лучшей практики управления активами в объединенной компании приведет к тому</w:t>
      </w:r>
      <w:r>
        <w:t xml:space="preserve">, </w:t>
      </w:r>
      <w:r w:rsidRPr="00793478">
        <w:t xml:space="preserve">что рентабельность активов (ROAA) новой фирмы будет равна наибольшей величине из рентабельностей активов двух прежних фирм (т. е. рентабельности активов присоединяемой фирмы). Несмотря на некоторую «натянутость» данного предположения 1 </w:t>
      </w:r>
      <w:r>
        <w:t xml:space="preserve">, </w:t>
      </w:r>
      <w:r w:rsidRPr="00793478">
        <w:t>его использование представляется разумным</w:t>
      </w:r>
      <w:r>
        <w:t xml:space="preserve">, </w:t>
      </w:r>
      <w:r w:rsidRPr="00793478">
        <w:t>поскольку на практике рост рентабельности активов после объединения двух компаний</w:t>
      </w:r>
      <w:r>
        <w:t xml:space="preserve">, </w:t>
      </w:r>
      <w:r w:rsidRPr="00793478">
        <w:t>при надлежащем управлении</w:t>
      </w:r>
      <w:r>
        <w:t xml:space="preserve">, </w:t>
      </w:r>
      <w:r w:rsidRPr="00793478">
        <w:t>действительно должен иметь место по описанным ниже причинам.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Во-первых</w:t>
      </w:r>
      <w:r>
        <w:t xml:space="preserve">, </w:t>
      </w:r>
      <w:r w:rsidRPr="00793478">
        <w:t>компания получает возможность заключения контрактов с поставщиками сырья (уголь</w:t>
      </w:r>
      <w:r>
        <w:t xml:space="preserve">, </w:t>
      </w:r>
      <w:r w:rsidRPr="00793478">
        <w:t>газ</w:t>
      </w:r>
      <w:r>
        <w:t xml:space="preserve">, </w:t>
      </w:r>
      <w:r w:rsidRPr="00793478">
        <w:t>мазут) на более выгодных условиях</w:t>
      </w:r>
      <w:r>
        <w:t xml:space="preserve">, </w:t>
      </w:r>
      <w:r w:rsidRPr="00793478">
        <w:t>поскольку объемы закупок увеличиваются.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Во-вторых</w:t>
      </w:r>
      <w:r>
        <w:t xml:space="preserve">, </w:t>
      </w:r>
      <w:r w:rsidRPr="00793478">
        <w:t>объединившиеся компании могут согласованно действовать с целью увеличения доходов на оптовом рынке электроэнергии за счет выставления заявок по более высоким ценам.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В-третьих</w:t>
      </w:r>
      <w:r>
        <w:t xml:space="preserve">, </w:t>
      </w:r>
      <w:r w:rsidRPr="00793478">
        <w:t>компании получают возможность оптимизации издержек</w:t>
      </w:r>
      <w:r>
        <w:t xml:space="preserve">, </w:t>
      </w:r>
      <w:r w:rsidRPr="00793478">
        <w:t>например</w:t>
      </w:r>
      <w:r>
        <w:t xml:space="preserve">, </w:t>
      </w:r>
      <w:r w:rsidRPr="00793478">
        <w:t>за счет сокращения дублирующих органов управления или оптимизации графика ремонтов генерирующих активов.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В-четвертых</w:t>
      </w:r>
      <w:r>
        <w:t xml:space="preserve">, </w:t>
      </w:r>
      <w:r w:rsidRPr="00793478">
        <w:t>улучшается качество управленческих решений</w:t>
      </w:r>
      <w:r>
        <w:t xml:space="preserve">, </w:t>
      </w:r>
      <w:r w:rsidRPr="00793478">
        <w:t>принимаемых на уровне руководства объединенной компании.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На пятом этапе производится анализ рыночного равновесия в отрасли после проведения слияний. Для этого необходимо построить график</w:t>
      </w:r>
      <w:r>
        <w:t xml:space="preserve">, </w:t>
      </w:r>
      <w:r w:rsidRPr="00793478">
        <w:t>иллюстрирующий достигнутые стоимости и рентабельности активов компаний.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Предложим следующий критерий равновесия в отрасли: равновесие считается устойчивым и процессы слияния прекращаются в том случае</w:t>
      </w:r>
      <w:r>
        <w:t xml:space="preserve">, </w:t>
      </w:r>
      <w:r w:rsidRPr="00793478">
        <w:t>если после предшествующих слияний и поглощений остаются только такие пары компаний</w:t>
      </w:r>
      <w:r>
        <w:t xml:space="preserve">, </w:t>
      </w:r>
      <w:r w:rsidRPr="00793478">
        <w:t xml:space="preserve">в которых компания с более высокой достигнутой стоимостью имеет и более высокий ROAA. 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Применимость данного критерия можно обосновать следующим образом. В случае если каждая компания—потенциальный инициатор поглощения имеет выбор только среди компаний с более низкой рентабельностью активов</w:t>
      </w:r>
      <w:r>
        <w:t xml:space="preserve">, </w:t>
      </w:r>
      <w:r w:rsidRPr="00793478">
        <w:t>то</w:t>
      </w:r>
      <w:r>
        <w:t xml:space="preserve">, </w:t>
      </w:r>
      <w:r w:rsidRPr="00793478">
        <w:t>без учета синергетического эффекта</w:t>
      </w:r>
      <w:r>
        <w:t xml:space="preserve">, </w:t>
      </w:r>
      <w:r w:rsidRPr="00793478">
        <w:t>рентабельность активов вновь созданной компании будет ниже рентабельности активов инициатора поглощения. Даже в случае роста рентабельности активов поглощаемой компании до уровня инициатора поглощения суммарная достигнутая стоимость вновь созданной компании будет равна сумме достигнутых стоимостей объединяющихся компаний. Для акционеров компании</w:t>
      </w:r>
      <w:r>
        <w:t xml:space="preserve">, </w:t>
      </w:r>
      <w:r w:rsidRPr="00793478">
        <w:t>ставящих своей целью максимизацию достигнутой стоимости компании</w:t>
      </w:r>
      <w:r>
        <w:t xml:space="preserve">, </w:t>
      </w:r>
      <w:r w:rsidRPr="00793478">
        <w:t>такое объединение не ведет к росту стоимости имущества — компании</w:t>
      </w:r>
      <w:r>
        <w:t xml:space="preserve">, </w:t>
      </w:r>
      <w:r w:rsidRPr="00793478">
        <w:t>которой они владеют.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Графическая интерпретация равновесного состояния отрасли состоит в следующем: любые две точки на рис. 2 (соответствующие показателям деятельности двух компаний) могут быть соединены линией с положительным наклоном (пунктирная линия). Если две точки на графике могут быть соединены линией с отрицательным наклоном</w:t>
      </w:r>
      <w:r>
        <w:t xml:space="preserve">, </w:t>
      </w:r>
      <w:r w:rsidRPr="00793478">
        <w:t>то такая ситуация не является равновесной.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Обратимся вновь к рассмотрению процесса объединения ОГК. После объединения двух пар ОГК образуются две новые фирмы со следующими финансовыми показателями (табл. 2 и 3).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Расчеты были проведены с использованием предположения</w:t>
      </w:r>
      <w:r>
        <w:t xml:space="preserve">, </w:t>
      </w:r>
      <w:r w:rsidRPr="00793478">
        <w:t>что весь синергетический эффект от объединения компаний будет реализован за счет роста доходов. В соответствии с логикой модели рост операционных доходов на одну денежную единицу равнозначен аналогичному снижению операционных расходов.</w:t>
      </w:r>
    </w:p>
    <w:p w:rsidR="00026BE5" w:rsidRPr="00793478" w:rsidRDefault="00B93ECA" w:rsidP="00026BE5">
      <w:pPr>
        <w:spacing w:before="120"/>
        <w:ind w:firstLine="567"/>
        <w:jc w:val="both"/>
      </w:pPr>
      <w:r>
        <w:pict>
          <v:shape id="_x0000_i1026" type="#_x0000_t75" alt="" style="width:384.75pt;height:267pt">
            <v:imagedata r:id="rId5" o:title=""/>
          </v:shape>
        </w:pict>
      </w:r>
    </w:p>
    <w:p w:rsidR="00026BE5" w:rsidRPr="00793478" w:rsidRDefault="00B93ECA" w:rsidP="00026BE5">
      <w:pPr>
        <w:spacing w:before="120"/>
        <w:ind w:firstLine="567"/>
        <w:jc w:val="both"/>
      </w:pPr>
      <w:r>
        <w:pict>
          <v:shape id="_x0000_i1027" type="#_x0000_t75" alt="" style="width:407.25pt;height:300.75pt">
            <v:imagedata r:id="rId6" o:title=""/>
          </v:shape>
        </w:pict>
      </w:r>
    </w:p>
    <w:p w:rsidR="00026BE5" w:rsidRPr="00793478" w:rsidRDefault="00B93ECA" w:rsidP="00026BE5">
      <w:pPr>
        <w:spacing w:before="120"/>
        <w:ind w:firstLine="567"/>
        <w:jc w:val="both"/>
      </w:pPr>
      <w:r>
        <w:pict>
          <v:shape id="_x0000_i1028" type="#_x0000_t75" alt="" style="width:390pt;height:275.25pt">
            <v:imagedata r:id="rId7" o:title=""/>
          </v:shape>
        </w:pic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Можно утверждать</w:t>
      </w:r>
      <w:r>
        <w:t xml:space="preserve">, </w:t>
      </w:r>
      <w:r w:rsidRPr="00793478">
        <w:t>что предполагаемый эффект от объединения компаний (рост рентабельности активов до уровня присоединяемой компании) будет реализован с достаточно большой вероятностью</w:t>
      </w:r>
      <w:r>
        <w:t xml:space="preserve">, </w:t>
      </w:r>
      <w:r w:rsidRPr="00793478">
        <w:t>поскольку для этого требуется сравнительно небольшой рост операционных доходов (7</w:t>
      </w:r>
      <w:r>
        <w:t xml:space="preserve">, </w:t>
      </w:r>
      <w:r w:rsidRPr="00793478">
        <w:t>48 и 2</w:t>
      </w:r>
      <w:r>
        <w:t xml:space="preserve">, </w:t>
      </w:r>
      <w:r w:rsidRPr="00793478">
        <w:t>66 % для различных пар компаний). Большая величина показателей требуемого роста нормализованной операционной прибыли (125</w:t>
      </w:r>
      <w:r>
        <w:t xml:space="preserve">, </w:t>
      </w:r>
      <w:r w:rsidRPr="00793478">
        <w:t>83 и 60</w:t>
      </w:r>
      <w:r>
        <w:t xml:space="preserve">, </w:t>
      </w:r>
      <w:r w:rsidRPr="00793478">
        <w:t>18 % соответственно) связана с невысокой рентабельностью компаний до объединения.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Рассмотрим отраслевое равновесие</w:t>
      </w:r>
      <w:r>
        <w:t xml:space="preserve">, </w:t>
      </w:r>
      <w:r w:rsidRPr="00793478">
        <w:t>возникшее после объединения двух пар оптовых генерирующих компаний (рис. 2).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После предполагаемого объединения компаний в отрасли действуют четыре фирмы. Данная ситуация может быть названа равновесной</w:t>
      </w:r>
      <w:r>
        <w:t xml:space="preserve">, </w:t>
      </w:r>
      <w:r w:rsidRPr="00793478">
        <w:t>поскольку ни одна из существующих компаний не имеет стимулов для проведения новых слияний. Достигнутая стоимость вновь созданных фирм ОГК-«3 + 6» и ОГК-«4 + 1» увеличилась соответственно на 115</w:t>
      </w:r>
      <w:r>
        <w:t xml:space="preserve">, </w:t>
      </w:r>
      <w:r w:rsidRPr="00793478">
        <w:t>60 и 205</w:t>
      </w:r>
      <w:r>
        <w:t xml:space="preserve">, </w:t>
      </w:r>
      <w:r w:rsidRPr="00793478">
        <w:t>04 % по сравнению с суммой достигнутых стоимостей объединяющихся фирм.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Проведенный анализ позволил прийти к следующим выводам.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Во-первых</w:t>
      </w:r>
      <w:r>
        <w:t xml:space="preserve">, </w:t>
      </w:r>
      <w:r w:rsidRPr="00793478">
        <w:t>к ключевым показателям компаний</w:t>
      </w:r>
      <w:r>
        <w:t xml:space="preserve">, </w:t>
      </w:r>
      <w:r w:rsidRPr="00793478">
        <w:t>определяющих их активность в области слияний</w:t>
      </w:r>
      <w:r>
        <w:t xml:space="preserve">, </w:t>
      </w:r>
      <w:r w:rsidRPr="00793478">
        <w:t>относятся рентабельность активов ROAA и достигнутая стоимость компании EV. Рентабельность активов определяет привлекательность компании как объекта слияния</w:t>
      </w:r>
      <w:r>
        <w:t xml:space="preserve">, </w:t>
      </w:r>
      <w:r w:rsidRPr="00793478">
        <w:t>достигнутая стоимость компании является показателем «силы» компании при слияниях (компания с более высокой «силой» выступает инициатором слияния).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Во-вторых</w:t>
      </w:r>
      <w:r>
        <w:t xml:space="preserve">, </w:t>
      </w:r>
      <w:r w:rsidRPr="00793478">
        <w:t>объектами слияния выступают компании с более низкой достигнутой стоимостью</w:t>
      </w:r>
      <w:r>
        <w:t xml:space="preserve">, </w:t>
      </w:r>
      <w:r w:rsidRPr="00793478">
        <w:t>но более высокой рентабельностью активов</w:t>
      </w:r>
      <w:r>
        <w:t xml:space="preserve">, </w:t>
      </w:r>
      <w:r w:rsidRPr="00793478">
        <w:t>по сравнению с компанией—инициатором слияния.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В-третьих</w:t>
      </w:r>
      <w:r>
        <w:t xml:space="preserve">, </w:t>
      </w:r>
      <w:r w:rsidRPr="00793478">
        <w:t>при расчете достигнутой стоимости вновь созданной компании можно применить методику</w:t>
      </w:r>
      <w:r>
        <w:t xml:space="preserve">, </w:t>
      </w:r>
      <w:r w:rsidRPr="00793478">
        <w:t>использованную авторами для расчета достигнутой стоимости отдельной фирмы. При расчетах рентабельность активов вновь созданной компании принимается равной максимуму из рентабельностей активов объединяющихся фирм.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В-четвертых</w:t>
      </w:r>
      <w:r>
        <w:t xml:space="preserve">, </w:t>
      </w:r>
      <w:r w:rsidRPr="00793478">
        <w:t>в результате слияний в отрасли (для этого может потребоваться несколько итераций (циклов)) будет достигнута равновесная ситуация. Критерий отраслевого равновесия — отсутствие пар компаний</w:t>
      </w:r>
      <w:r>
        <w:t xml:space="preserve">, </w:t>
      </w:r>
      <w:r w:rsidRPr="00793478">
        <w:t>для которых выполняется следующее соотношение: рыночная стоимость одной из компаний превышает рыночную стоимость другой компании</w:t>
      </w:r>
      <w:r>
        <w:t xml:space="preserve">, </w:t>
      </w:r>
      <w:r w:rsidRPr="00793478">
        <w:t>при этом рентабельность активов первой компании ниже рентабельности активов второй компании.</w:t>
      </w:r>
    </w:p>
    <w:p w:rsidR="00026BE5" w:rsidRPr="00FF090F" w:rsidRDefault="00026BE5" w:rsidP="00026BE5">
      <w:pPr>
        <w:spacing w:before="120"/>
        <w:jc w:val="center"/>
        <w:rPr>
          <w:b/>
          <w:sz w:val="28"/>
        </w:rPr>
      </w:pPr>
      <w:r w:rsidRPr="00FF090F">
        <w:rPr>
          <w:b/>
          <w:sz w:val="28"/>
        </w:rPr>
        <w:t>Примечания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1 Существенным элементом предлагаемого метода является использование для прогнозов только открытой</w:t>
      </w:r>
      <w:r>
        <w:t xml:space="preserve">, </w:t>
      </w:r>
      <w:r w:rsidRPr="00793478">
        <w:t>официально доступной информации. Для построения же точного прогноза ROAA после объединения необходимо иметь доступ к информации</w:t>
      </w:r>
      <w:r>
        <w:t xml:space="preserve">, </w:t>
      </w:r>
      <w:r w:rsidRPr="00793478">
        <w:t>значительная часть которой является коммерческой тайной (например</w:t>
      </w:r>
      <w:r>
        <w:t xml:space="preserve">, </w:t>
      </w:r>
      <w:r w:rsidRPr="00793478">
        <w:t xml:space="preserve">условия договоров с поставщиками сырья). </w:t>
      </w:r>
    </w:p>
    <w:p w:rsidR="00026BE5" w:rsidRPr="00FF090F" w:rsidRDefault="00026BE5" w:rsidP="00026BE5">
      <w:pPr>
        <w:spacing w:before="120"/>
        <w:jc w:val="center"/>
        <w:rPr>
          <w:b/>
          <w:sz w:val="28"/>
        </w:rPr>
      </w:pPr>
      <w:r w:rsidRPr="00FF090F">
        <w:rPr>
          <w:b/>
          <w:sz w:val="28"/>
        </w:rPr>
        <w:t>Список литературы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1. Битюцких В. Т. Мифы финансового анализа и управление стоимостью компании. М.</w:t>
      </w:r>
      <w:r>
        <w:t xml:space="preserve">, </w:t>
      </w:r>
      <w:r w:rsidRPr="00793478">
        <w:t xml:space="preserve">2007. 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2. Гальперин В. М.</w:t>
      </w:r>
      <w:r>
        <w:t xml:space="preserve">, </w:t>
      </w:r>
      <w:r w:rsidRPr="00793478">
        <w:t>Игнатьев С. М.</w:t>
      </w:r>
      <w:r>
        <w:t xml:space="preserve">, </w:t>
      </w:r>
      <w:r w:rsidRPr="00793478">
        <w:t>Моргунов В. И. Микроэкономика : в 2 т. / общ. ред. В. М. Гальперина. СПб.</w:t>
      </w:r>
      <w:r>
        <w:t xml:space="preserve">, </w:t>
      </w:r>
      <w:r w:rsidRPr="00793478">
        <w:t>1994. Т. 1.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3. Группа «ОГК-1»: Комбинированная и консолидированная финансовая отчетность</w:t>
      </w:r>
      <w:r>
        <w:t xml:space="preserve">, </w:t>
      </w:r>
      <w:r w:rsidRPr="00793478">
        <w:t>подготовленная в соответствии с международными стандартами финансовой отчетности (МСФО) за год</w:t>
      </w:r>
      <w:r>
        <w:t xml:space="preserve">, </w:t>
      </w:r>
      <w:r w:rsidRPr="00793478">
        <w:t>закончившийся 31 декабря 2007 года // Отчетность по МСФО / ОАО «ОГК-1». М.</w:t>
      </w:r>
      <w:r>
        <w:t xml:space="preserve">, </w:t>
      </w:r>
      <w:r w:rsidRPr="00793478">
        <w:t>2008. Систем. требования: Acrobat Reader. URL: http://www.ogk1.com/docs/OGK-1_IFRS_Audit_2007_rus.pdf (дата обращения: 19.01.2009).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4. Группа «ОГК-2»: Комбинированная и консолидированная финансовая отчетность</w:t>
      </w:r>
      <w:r>
        <w:t xml:space="preserve">, </w:t>
      </w:r>
      <w:r w:rsidRPr="00793478">
        <w:t>подготовленная в соответствии с международными стандартами финансовой отчетности (МСФО) за год</w:t>
      </w:r>
      <w:r>
        <w:t xml:space="preserve">, </w:t>
      </w:r>
      <w:r w:rsidRPr="00793478">
        <w:t>закончившийся 31 декабря 2007 года // Финансовая отчетность / ОАО «ОГК-2». М.</w:t>
      </w:r>
      <w:r>
        <w:t xml:space="preserve">, </w:t>
      </w:r>
      <w:r w:rsidRPr="00793478">
        <w:t>2008. Систем. требования: Microsoft Word. URL: http://www.ogk2.ru/media/si/fin/finotch/5.doc (дата обращения: 19.01.2009).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5. Группа «ОГК-3»: Комбинированная и консолидированная финансовая отчетность</w:t>
      </w:r>
      <w:r>
        <w:t xml:space="preserve">, </w:t>
      </w:r>
      <w:r w:rsidRPr="00793478">
        <w:t>подготовленная в соответствии с международными стандартами финансовой отчетности (МСФО) за год</w:t>
      </w:r>
      <w:r>
        <w:t xml:space="preserve">, </w:t>
      </w:r>
      <w:r w:rsidRPr="00793478">
        <w:t>закончившийся 31 декабря 2007 года // Финансовая отчетность по МСФО / ОАО «ОГК-3». М.</w:t>
      </w:r>
      <w:r>
        <w:t xml:space="preserve">, </w:t>
      </w:r>
      <w:r w:rsidRPr="00793478">
        <w:t>2008. Систем. требования: Acrobat Reader. URL: http://www.ogk3.ru/userdata/0a6dcae3/WGC-3%20IFRS%20FS_FY2007_Eng.pdf (дата обращения: 19.01.2009).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6. Группа «ОГК-4»: Комбинированная и консолидированная финансовая отчетность</w:t>
      </w:r>
      <w:r>
        <w:t xml:space="preserve">, </w:t>
      </w:r>
      <w:r w:rsidRPr="00793478">
        <w:t>подготовленная в соответствии с международными стандартами финансовой отчетности (МСФО) за год</w:t>
      </w:r>
      <w:r>
        <w:t xml:space="preserve">, </w:t>
      </w:r>
      <w:r w:rsidRPr="00793478">
        <w:t>закончившийся 31 декабря 2007 года // Финансовая отчетность по МСФО / ОАО «ОГК-4». М.</w:t>
      </w:r>
      <w:r>
        <w:t xml:space="preserve">, </w:t>
      </w:r>
      <w:r w:rsidRPr="00793478">
        <w:t>2008. Систем. требования: Acrobat Reader. URL: http://www.ogk-4.ru/ogk/UserFiles/Fin_Stat_2007_WGC4_Rus_300608.pdf (дата обращения: 19.01.2009).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7. Группа «ОГК-5»: Комбинированная и консолидированная финансовая отчетность</w:t>
      </w:r>
      <w:r>
        <w:t xml:space="preserve">, </w:t>
      </w:r>
      <w:r w:rsidRPr="00793478">
        <w:t>подготовленная в соответствии с международными стандартами финансовой отчетности (МСФО) за год</w:t>
      </w:r>
      <w:r>
        <w:t xml:space="preserve">, </w:t>
      </w:r>
      <w:r w:rsidRPr="00793478">
        <w:t>закончившийся 31 декабря 2007 года // Отчетность по МСФО / ОАО «ОГК-4». М.</w:t>
      </w:r>
      <w:r>
        <w:t xml:space="preserve">, </w:t>
      </w:r>
      <w:r w:rsidRPr="00793478">
        <w:t>2008. Систем. требования: Acrobat Reader. URL: http://www.ogk-5.com/common/img/uploaded/files/finance_reports/OGK-5_31.12.07__RUS_final.pdf (дата обращения: 19.01.2009).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8. Группа «ОГК-6»: Комбинированная и консолидированная финансовая отчетность</w:t>
      </w:r>
      <w:r>
        <w:t xml:space="preserve">, </w:t>
      </w:r>
      <w:r w:rsidRPr="00793478">
        <w:t>подготовленная в соответствии с международными стандартами финансовой отчетности (МСФО) за год</w:t>
      </w:r>
      <w:r>
        <w:t xml:space="preserve">, </w:t>
      </w:r>
      <w:r w:rsidRPr="00793478">
        <w:t>закончившийся 31 декабря 2007 года // Финансовая отчетность по МСФО / ОАО «ОГК-6». М.</w:t>
      </w:r>
      <w:r>
        <w:t xml:space="preserve">, </w:t>
      </w:r>
      <w:r w:rsidRPr="00793478">
        <w:t>2008. Систем. требования: Acrobat Reader. URL: http://www.ogk6.ru/shareholders/information/information/OGK-6_2008.06.11_IFRS_2007_rus.pdf (дата обращения: 19.01.2009).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9. Рид С. Ф. Искусство слияний и поглощений : пер. с англ. М.</w:t>
      </w:r>
      <w:r>
        <w:t xml:space="preserve">, </w:t>
      </w:r>
      <w:r w:rsidRPr="00793478">
        <w:t xml:space="preserve">2004. 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10. Синицын Е. В.</w:t>
      </w:r>
      <w:r>
        <w:t xml:space="preserve">, </w:t>
      </w:r>
      <w:r w:rsidRPr="00793478">
        <w:t>Стерхов А. В. К вопросу об оценке инвестиционной привлекательности предприятий электроэнергетики (на примере оптовых генерирующих компаний) // Экономический анализ: теория и практика. 2009. № 21. С. 9–15.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 xml:space="preserve">11. Федеральный закон от 26 июля </w:t>
      </w:r>
      <w:smartTag w:uri="urn:schemas-microsoft-com:office:smarttags" w:element="metricconverter">
        <w:smartTagPr>
          <w:attr w:name="ProductID" w:val="2006 г"/>
        </w:smartTagPr>
        <w:r w:rsidRPr="00793478">
          <w:t>2006 г</w:t>
        </w:r>
      </w:smartTag>
      <w:r w:rsidRPr="00793478">
        <w:t xml:space="preserve">. № 135-ФЗ «О защите конкуренции» (с изменениями от 1 декабря </w:t>
      </w:r>
      <w:smartTag w:uri="urn:schemas-microsoft-com:office:smarttags" w:element="metricconverter">
        <w:smartTagPr>
          <w:attr w:name="ProductID" w:val="2007 г"/>
        </w:smartTagPr>
        <w:r w:rsidRPr="00793478">
          <w:t>2007 г</w:t>
        </w:r>
      </w:smartTag>
      <w:r w:rsidRPr="00793478">
        <w:t>.</w:t>
      </w:r>
      <w:r>
        <w:t xml:space="preserve">, </w:t>
      </w:r>
      <w:r w:rsidRPr="00793478">
        <w:t>29 апреля</w:t>
      </w:r>
      <w:r>
        <w:t xml:space="preserve">, </w:t>
      </w:r>
      <w:r w:rsidRPr="00793478">
        <w:t>30 июня</w:t>
      </w:r>
      <w:r>
        <w:t xml:space="preserve">, </w:t>
      </w:r>
      <w:r w:rsidRPr="00793478">
        <w:t xml:space="preserve">8 ноября </w:t>
      </w:r>
      <w:smartTag w:uri="urn:schemas-microsoft-com:office:smarttags" w:element="metricconverter">
        <w:smartTagPr>
          <w:attr w:name="ProductID" w:val="2008 г"/>
        </w:smartTagPr>
        <w:r w:rsidRPr="00793478">
          <w:t>2008 г</w:t>
        </w:r>
      </w:smartTag>
      <w:r w:rsidRPr="00793478">
        <w:t>.). Доступ из справочно-правовой системы «Гарант».</w:t>
      </w:r>
    </w:p>
    <w:p w:rsidR="00026BE5" w:rsidRPr="00793478" w:rsidRDefault="00026BE5" w:rsidP="00026BE5">
      <w:pPr>
        <w:spacing w:before="120"/>
        <w:ind w:firstLine="567"/>
        <w:jc w:val="both"/>
      </w:pPr>
      <w:r w:rsidRPr="00793478">
        <w:t>12. Savvateev A. Ordinal Comparative Statics // Равновесные модели экономики и энергетики : Тр. Всерос. конф. и секции Математической экономики XIV Байкал. международ. шк.-семинара «Методы оптимизации и их приложения»</w:t>
      </w:r>
      <w:r>
        <w:t xml:space="preserve">, </w:t>
      </w:r>
      <w:r w:rsidRPr="00793478">
        <w:t>Иркутск</w:t>
      </w:r>
      <w:r>
        <w:t xml:space="preserve">, </w:t>
      </w:r>
      <w:r w:rsidRPr="00793478">
        <w:t>Байкал</w:t>
      </w:r>
      <w:r>
        <w:t xml:space="preserve">, </w:t>
      </w:r>
      <w:r w:rsidRPr="00793478">
        <w:t xml:space="preserve">2–8 июля </w:t>
      </w:r>
      <w:smartTag w:uri="urn:schemas-microsoft-com:office:smarttags" w:element="metricconverter">
        <w:smartTagPr>
          <w:attr w:name="ProductID" w:val="2008 г"/>
        </w:smartTagPr>
        <w:r w:rsidRPr="00793478">
          <w:t>2008 г</w:t>
        </w:r>
      </w:smartTag>
      <w:r w:rsidRPr="00793478">
        <w:t>. Иркутск</w:t>
      </w:r>
      <w:r>
        <w:t xml:space="preserve">, </w:t>
      </w:r>
      <w:r w:rsidRPr="00793478">
        <w:t>2008. С. 108–110.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BE5"/>
    <w:rsid w:val="00026BE5"/>
    <w:rsid w:val="0007754F"/>
    <w:rsid w:val="001A35F6"/>
    <w:rsid w:val="00793478"/>
    <w:rsid w:val="00811DD4"/>
    <w:rsid w:val="00B93ECA"/>
    <w:rsid w:val="00DB07C0"/>
    <w:rsid w:val="00FF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  <w14:defaultImageDpi w14:val="0"/>
  <w15:docId w15:val="{E8261FD5-8FD1-49CC-8832-740989DB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BE5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3380</Words>
  <Characters>19271</Characters>
  <Application>Microsoft Office Word</Application>
  <DocSecurity>0</DocSecurity>
  <Lines>160</Lines>
  <Paragraphs>45</Paragraphs>
  <ScaleCrop>false</ScaleCrop>
  <Company>Home</Company>
  <LinksUpToDate>false</LinksUpToDate>
  <CharactersWithSpaces>22606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Некоторые проблемы оценки инвестиционной привлекательности предприятий электроэнергетики при слияниях и поглощениях (на примере оптовых генерирующих компаний)</dc:title>
  <dc:subject/>
  <dc:creator>User</dc:creator>
  <cp:keywords/>
  <dc:description/>
  <cp:lastModifiedBy>Irina</cp:lastModifiedBy>
  <cp:revision>2</cp:revision>
  <dcterms:created xsi:type="dcterms:W3CDTF">2014-07-19T13:58:00Z</dcterms:created>
  <dcterms:modified xsi:type="dcterms:W3CDTF">2014-07-19T13:58:00Z</dcterms:modified>
</cp:coreProperties>
</file>