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2313" w:rsidRDefault="000E3B4E">
      <w:pPr>
        <w:pStyle w:val="1"/>
        <w:jc w:val="center"/>
      </w:pPr>
      <w:r>
        <w:t>Доллар и евро: проблема выбора</w:t>
      </w:r>
    </w:p>
    <w:p w:rsidR="00112313" w:rsidRPr="000E3B4E" w:rsidRDefault="000E3B4E">
      <w:pPr>
        <w:pStyle w:val="a3"/>
      </w:pPr>
      <w:r>
        <w:t>Введение</w:t>
      </w:r>
    </w:p>
    <w:p w:rsidR="00112313" w:rsidRDefault="000E3B4E">
      <w:pPr>
        <w:pStyle w:val="a3"/>
      </w:pPr>
      <w:r>
        <w:t>Попытки создания валютных союзов между различными европейскими государствами неоднократно предпринимались в XIX- начале XX вв. В то время денежные системы и международные финансовые отношения были основаны на золоте и серебре. Проблемы с инфляцией возникали только при открытии новых крупных месторождений этих драгоценных металлов. Денежная политика и центральные банки еще находились в процессе становления и мало сопоставимы с современными.</w:t>
      </w:r>
    </w:p>
    <w:p w:rsidR="00112313" w:rsidRDefault="000E3B4E">
      <w:pPr>
        <w:pStyle w:val="a3"/>
      </w:pPr>
      <w:r>
        <w:t>Интеграционные процессы среди развитых и приближающихся к ним в своем развитии стран ныне явно активизируются. Однако никакому другому региону планеты не удалось до сих пор так далеко зайти в объединении, как Европе. Там уже приступили к решению краеугольной проблемы экономической интеграции - введению единой валюты с постепенным отказом от национальных денежных единиц.</w:t>
      </w:r>
    </w:p>
    <w:p w:rsidR="00112313" w:rsidRDefault="000E3B4E">
      <w:pPr>
        <w:pStyle w:val="a3"/>
      </w:pPr>
      <w:r>
        <w:t>Россию, как и Европу, не устраивают их прежняя ориентация на американскую валюту, доминирующая роль доллара на международной арене. Так, в 90-х годах в мире в долларах США формировалось 50-60% валютных резервов государств, 60-70% экспорта и импорта, 70% банковских кредитов, примерно 50% облигационных займов, 80% операций на валютных рынках, 100% оборота рынков евродолларов и нефтедолларов. В России в долларах составлялись 80% внешнеторговых контрактов, 90% банковских активов в СКВ.</w:t>
      </w:r>
    </w:p>
    <w:p w:rsidR="00112313" w:rsidRDefault="000E3B4E">
      <w:pPr>
        <w:pStyle w:val="a3"/>
      </w:pPr>
      <w:r>
        <w:t>Создание Европейского экономического и валютного союза ведет к укреплению этой важнейшей интеграционной группировки, и будет способствовать ее экономическому развитию и укреплению ее позиций в соперничестве с США и Японией.</w:t>
      </w:r>
    </w:p>
    <w:p w:rsidR="00112313" w:rsidRDefault="000E3B4E">
      <w:pPr>
        <w:pStyle w:val="a3"/>
      </w:pPr>
      <w:r>
        <w:t>Российская поддержка Европейского экономического и валютного союза (ЕЭВС) и единой европейской валюты дает шанс построить новый мировой денежный порядок: сделать прозрачной международную систему расчетов, исключить хаос и произвол в формировании и динамике курсов на глобальных финансовых рынках, покончить с односторонними преимуществами и выгодами для Соединенных Штатов. Если европейский потенциал сложить с потенциалом России (с ее 150-миллионным населением и национальным богатством, составляющим 360-400 трлн. долл.), такому альянсу не будет равных в мире.</w:t>
      </w:r>
    </w:p>
    <w:p w:rsidR="00112313" w:rsidRDefault="000E3B4E">
      <w:pPr>
        <w:pStyle w:val="a3"/>
      </w:pPr>
      <w:r>
        <w:t>Хотя проблема валютного регулирования не является определяющей в стратегии экономического развития России, споры вокруг нее не утихают все постсоветское время. С февраля 2005 г. Банк России перешел к использованию бивалютной корзины в качестве операционного ориентира. Данная мера направлена на более свободное формирование курса доллара при ограничении колебаний курса единой европейской валюты.</w:t>
      </w:r>
    </w:p>
    <w:p w:rsidR="00112313" w:rsidRDefault="000E3B4E">
      <w:pPr>
        <w:pStyle w:val="a3"/>
      </w:pPr>
      <w:r>
        <w:t>Последние события на мировом валютном рынке дают основания задуматься о перспективах курса американской валюты по отношению к другим валютам, в том числе и к рублю. Все вышеперечисленные факторы и обусловили актуальность нашего исследования.</w:t>
      </w:r>
    </w:p>
    <w:p w:rsidR="00112313" w:rsidRDefault="000E3B4E">
      <w:pPr>
        <w:pStyle w:val="a3"/>
      </w:pPr>
      <w:r>
        <w:t>Целью курсовой работы является проблема выбора между валютами: доллар и евро.</w:t>
      </w:r>
    </w:p>
    <w:p w:rsidR="00112313" w:rsidRDefault="000E3B4E">
      <w:pPr>
        <w:pStyle w:val="a3"/>
      </w:pPr>
      <w:r>
        <w:t>В развитии этой цели можно выделить следующий круг задач:</w:t>
      </w:r>
    </w:p>
    <w:p w:rsidR="00112313" w:rsidRDefault="000E3B4E">
      <w:pPr>
        <w:pStyle w:val="a3"/>
      </w:pPr>
      <w:r>
        <w:t>-рассмотреть современные проблемы функционирования евро;</w:t>
      </w:r>
    </w:p>
    <w:p w:rsidR="00112313" w:rsidRDefault="000E3B4E">
      <w:pPr>
        <w:pStyle w:val="a3"/>
      </w:pPr>
      <w:r>
        <w:t>-изучить динамику курсообразования;</w:t>
      </w:r>
    </w:p>
    <w:p w:rsidR="00112313" w:rsidRDefault="000E3B4E">
      <w:pPr>
        <w:pStyle w:val="a3"/>
      </w:pPr>
      <w:r>
        <w:t>- проанализировать проблему выбора между валютами;</w:t>
      </w:r>
    </w:p>
    <w:p w:rsidR="00112313" w:rsidRDefault="000E3B4E">
      <w:pPr>
        <w:pStyle w:val="a3"/>
      </w:pPr>
      <w:r>
        <w:t>Методы исследования:</w:t>
      </w:r>
    </w:p>
    <w:p w:rsidR="00112313" w:rsidRDefault="000E3B4E">
      <w:pPr>
        <w:pStyle w:val="a3"/>
      </w:pPr>
      <w:r>
        <w:t>- обработка, анализ научных источников;</w:t>
      </w:r>
    </w:p>
    <w:p w:rsidR="00112313" w:rsidRDefault="000E3B4E">
      <w:pPr>
        <w:pStyle w:val="a3"/>
      </w:pPr>
      <w:r>
        <w:t>- анализ научной литературы, учебников и пособий по исследуемой проблеме.</w:t>
      </w:r>
    </w:p>
    <w:p w:rsidR="00112313" w:rsidRDefault="000E3B4E">
      <w:pPr>
        <w:pStyle w:val="a3"/>
      </w:pPr>
      <w:r>
        <w:t>Объект исследования – доллар и евро</w:t>
      </w:r>
    </w:p>
    <w:p w:rsidR="00112313" w:rsidRDefault="000E3B4E">
      <w:pPr>
        <w:pStyle w:val="a3"/>
      </w:pPr>
      <w:r>
        <w:t>Предмет исследования – проблема выбора между долларом и евро</w:t>
      </w:r>
    </w:p>
    <w:p w:rsidR="00112313" w:rsidRDefault="000E3B4E">
      <w:pPr>
        <w:pStyle w:val="a3"/>
      </w:pPr>
      <w:r>
        <w:t>1. Современные проблемы функционирования евро</w:t>
      </w:r>
    </w:p>
    <w:p w:rsidR="00112313" w:rsidRDefault="000E3B4E">
      <w:pPr>
        <w:pStyle w:val="a3"/>
      </w:pPr>
      <w:r>
        <w:t>1 января 1999 года в списке ведущих валют мира появилась новая строка под названием «евро». Несмотря на противоречивые прогнозы, единая европейская денежная единица состоялась и существует. В организации Европейского экономического и валютного союза никаких кардинальных недостатков, которые угрожали бы его жизнеспособности, также не обнаружено. Напротив, теперь с уверенностью можно сказать, что для единой валюты ЕЭВС наступает период становления.</w:t>
      </w:r>
    </w:p>
    <w:p w:rsidR="00112313" w:rsidRDefault="000E3B4E">
      <w:pPr>
        <w:pStyle w:val="a3"/>
      </w:pPr>
      <w:r>
        <w:t>Введение единой европейской валюты создало мощные предпосылки для развития и углубления единого европейского финансового рынка, развития его инфраструктуры и приближения его характеристик к параметрам североамериканского. Кроме того, расширение использования евро усилило необходимость структурных изменений, в первую очередь на финансовых рынках.</w:t>
      </w:r>
    </w:p>
    <w:p w:rsidR="00112313" w:rsidRDefault="000E3B4E">
      <w:pPr>
        <w:pStyle w:val="a3"/>
      </w:pPr>
      <w:r>
        <w:t>Во-первых, в результате исчезновения валютного компонента существенно возросло значение других факторов ценообразования на финансовом рынке, в частности, кредитного рейтинга эмитента, ликвидности ценных бумаг, механизма расчетов, юридических и других рисков. Общим результатом увеличения роли этих факторов явилось сближение условий выпуска ценных бумаг эмитентами стран еврозоны, повышение степени открытости национальных рынков и как следствие – усиление конкуренции между ними.</w:t>
      </w:r>
    </w:p>
    <w:p w:rsidR="00112313" w:rsidRDefault="000E3B4E">
      <w:pPr>
        <w:pStyle w:val="a3"/>
      </w:pPr>
      <w:r>
        <w:t>Во-вторых, появление единой валюты привело к значительным изменениям правил, регулирующих работу европейских финансовых рынков, и вследствие этого – к повышению роли институциональных инвесторов. До 1999г. страховые компании (а в некоторых странах и пенсионные фонды) были ограничены в своей деятельности установленным в рамках ЕЭС нормативом, согласно которому пассивы в иностранной валюте должны на 80% покрываться активами в той же валюте, а круг первичных эмитентов ценных бумаг в отдельно взятой стране ограничен филиалами компаний, зарегистрированных в данной стране («принцип якоря»). Устранение этих ограничений придало дополнительный импульс развитию западноевропейских институциональных инвесторов (число которых в государствах – участниках ЕЭС существенно превышает численность аналогичных институтов в США). Последние смогли значительно увеличить объем операций и диверсифицировать их в рамках «зоны евро». Созданы более благоприятные условия для развития системы частных пенсионных фондов, доля акций которых в общем обороте финансовых рынков составляет от 20% в Германии, Франции и Италии до 30-50% в Великобритании и Нидерландах</w:t>
      </w:r>
      <w:bookmarkStart w:id="0" w:name="_ftnref1"/>
      <w:r>
        <w:fldChar w:fldCharType="begin"/>
      </w:r>
      <w:r>
        <w:instrText xml:space="preserve"> HYPERLINK "" \l "_ftn1" \o "" </w:instrText>
      </w:r>
      <w:r>
        <w:fldChar w:fldCharType="separate"/>
      </w:r>
      <w:r>
        <w:rPr>
          <w:rStyle w:val="a4"/>
        </w:rPr>
        <w:t>[1]</w:t>
      </w:r>
      <w:r>
        <w:fldChar w:fldCharType="end"/>
      </w:r>
      <w:r>
        <w:t>.</w:t>
      </w:r>
    </w:p>
    <w:p w:rsidR="00112313" w:rsidRDefault="000E3B4E">
      <w:pPr>
        <w:pStyle w:val="a3"/>
      </w:pPr>
      <w:r>
        <w:t>В-третьих, немаловажным следствием введения евро является изменение принципов формирования портфелей финансовых инструментов. На смену валютной диверсификации в управлении частными инвестиционными портфелями пришло распределение инструментов по сегментам рынка (инструменты рефинансирования, государственные облигации, акции частных компаний). Происходит интенсивное сращивание европейских и международных рынков: менеджеры из стран «зоны евро» проявляют все больший интерес к работе с иностранными ценными бумагами, а операторы из стран, не входящих в эту зону, - к пополнению своих портфелей за счет европейских ценных бумаг.</w:t>
      </w:r>
    </w:p>
    <w:p w:rsidR="00112313" w:rsidRDefault="000E3B4E">
      <w:pPr>
        <w:pStyle w:val="a3"/>
      </w:pPr>
      <w:r>
        <w:t>Эти изменения свидетельствуют о том, что мировой финансовый рынок входит в новую эру развития.</w:t>
      </w:r>
    </w:p>
    <w:p w:rsidR="00112313" w:rsidRDefault="000E3B4E">
      <w:pPr>
        <w:pStyle w:val="a3"/>
      </w:pPr>
      <w:r>
        <w:t>Факторы, ослабляющие евро.</w:t>
      </w:r>
    </w:p>
    <w:p w:rsidR="00112313" w:rsidRDefault="000E3B4E">
      <w:pPr>
        <w:pStyle w:val="a3"/>
      </w:pPr>
      <w:r>
        <w:t>Кроме экономических, существуют и политические факторы, ослабляющие евро. Во-первых, это неприсоединение Великобритании, Дании и Швеции к еврозоне. Особенно важно то, что Лондон, главный на сегодня финансовый центр Европы (в котором находятся как отделения инвестиционных банков США, так и всех крупнейших страховых компаний), находится вне еврозоны. И пока евро не сможет выйти на мировой рынок ценных бумаг в Лондоне, все попытки сделать евро мировой валютой будут малорезультативными. Во-вторых, предстоящее расширение рамок ЕС за счет приема новых членов – стран из Восточной Европы, что негативно отразится на евро, поскольку придется подтягивать отсталую по сравнению с западной социально-экономическую сферу новых партнеров. Все это снижает доверие к евро. Не менее важную, чем фундаментальные экономические показатели роль в движении валютных курсов играют психологические факторы. Начавшаяся в США в 2001 г. рецессия вызвала переориентацию потоков капитала в поддержку евро. Однако этому частично помешали именно психологические мотивы: инвесторы, уже потерявшие на том, что держали активы в обесценивающейся валюте, не пожелали вновь пойти на риск. Следующий психологический фактор: видя рост доллара, аналитики начинают его обосновывать, игнорируя все негативные моменты американской экономики, тем самым поддерживая укрепление доллара. Падение евро, наоборот, привлекает внимание, прежде всего, к европейским недостаткам. Кроме того, европейские финансовые институты значительно отстают от американских по разнообразию и качеству предоставляемых ими услуг. Так, для хеджирования валютных рисков по экспортным операциям в евро российским компаниям приходится обращаться на Чикагскую биржу. Тем не менее, европейская валюта, опираясь на мощный экономический потенциал ЕС, все больше заменяет доллар США во внутри европейских и международных торговых расчетах, завоевывает популярность на финансовых рынках и валютных площадках далеко за пределами своего официального применения</w:t>
      </w:r>
      <w:bookmarkStart w:id="1" w:name="_ftnref2"/>
      <w:r>
        <w:fldChar w:fldCharType="begin"/>
      </w:r>
      <w:r>
        <w:instrText xml:space="preserve"> HYPERLINK "" \l "_ftn2" \o "" </w:instrText>
      </w:r>
      <w:r>
        <w:fldChar w:fldCharType="separate"/>
      </w:r>
      <w:r>
        <w:rPr>
          <w:rStyle w:val="a4"/>
        </w:rPr>
        <w:t>[2]</w:t>
      </w:r>
      <w:r>
        <w:fldChar w:fldCharType="end"/>
      </w:r>
      <w:r>
        <w:t>.</w:t>
      </w:r>
    </w:p>
    <w:p w:rsidR="00112313" w:rsidRDefault="000E3B4E">
      <w:pPr>
        <w:pStyle w:val="a3"/>
      </w:pPr>
      <w:r>
        <w:t>Основная слабость евро как валюты в том, что за ней стоит не единое государство с четко определенными интересами и политическими целями, а конгломерат различных государств, между которыми существуют экономические разногласия, которые могут и обостриться. Созданные наднациональные органы располагают широкими, но все же ограниченными, делегированными полномочиями. Причины внешней слабости евро состоят в том, что они кроются не в самой единой валюте или в денежно-кредитной политике ЕЦБ, а в отсутствии синхронного продвижения правительств стран ЭВС к тесному политическому союзу. Осуществляемые национальными правительствами реформы часто нескоординированы, что подрывает доверие инвесторов к европейской экономике. ЭВС в его нынешнем виде, безусловно, промежуточный этап. Его стратегический долгосрочный успех может быть обеспечен только единой экономической политикой: в условиях децентрализованных бюджетных процессов, характерных для еврозоны, поддерживать единство финансовой системы затруднительно</w:t>
      </w:r>
      <w:bookmarkStart w:id="2" w:name="_ftnref3"/>
      <w:r>
        <w:fldChar w:fldCharType="begin"/>
      </w:r>
      <w:r>
        <w:instrText xml:space="preserve"> HYPERLINK "" \l "_ftn3" \o "" </w:instrText>
      </w:r>
      <w:r>
        <w:fldChar w:fldCharType="separate"/>
      </w:r>
      <w:r>
        <w:rPr>
          <w:rStyle w:val="a4"/>
        </w:rPr>
        <w:t>[3]</w:t>
      </w:r>
      <w:r>
        <w:fldChar w:fldCharType="end"/>
      </w:r>
      <w:r>
        <w:t>.</w:t>
      </w:r>
    </w:p>
    <w:p w:rsidR="00112313" w:rsidRDefault="000E3B4E">
      <w:pPr>
        <w:pStyle w:val="a3"/>
      </w:pPr>
      <w:r>
        <w:t>Таким образом, значительную роль в позиции евро в международной валютной системе играют внутренние проблемы пока еще не совсем единой Европы и слабость евро объясняется скорее неопределенностью по поводу политического будущего еврозоны, а не отставанием от экономики США.</w:t>
      </w:r>
    </w:p>
    <w:p w:rsidR="00112313" w:rsidRDefault="000E3B4E">
      <w:pPr>
        <w:pStyle w:val="a3"/>
      </w:pPr>
      <w:r>
        <w:t> </w:t>
      </w:r>
    </w:p>
    <w:p w:rsidR="00112313" w:rsidRDefault="000E3B4E">
      <w:pPr>
        <w:pStyle w:val="a3"/>
      </w:pPr>
      <w:r>
        <w:t>2. Динамика курсообразования</w:t>
      </w:r>
    </w:p>
    <w:p w:rsidR="00112313" w:rsidRDefault="000E3B4E">
      <w:pPr>
        <w:pStyle w:val="a3"/>
      </w:pPr>
      <w:r>
        <w:t>В марте 2006г. изменения курсов американской и европейской валют к рублю были обусловлены в основном динамикой курса доллар/евро на международных валютных рынках. Действия Банка России на валютном рынке оказывали заметно меньшее влияние на формирование внутренних курсов валют по сравнению с февралем.</w:t>
      </w:r>
    </w:p>
    <w:p w:rsidR="00112313" w:rsidRDefault="000E3B4E">
      <w:pPr>
        <w:pStyle w:val="a3"/>
      </w:pPr>
      <w:r>
        <w:t>В течение месяца, несмотря на значительные колебания, на внутреннем валютном рынке прослеживалась тенденция к ослаблению доллара США к рублю.</w:t>
      </w:r>
    </w:p>
    <w:p w:rsidR="00112313" w:rsidRDefault="000E3B4E">
      <w:pPr>
        <w:pStyle w:val="a3"/>
      </w:pPr>
      <w:r>
        <w:t>На протяжении апреля 2006г. ситуация на внутреннем валютном рынке определялась сохраняющимся притоком значительных объемов валютной выручки, обусловленных высоким уровнем мировых цен на энергоносители, и ожиданиями участников рынка дальнейшей девальвации доллара США, что создавало предпосылки для превышения предложения иностранной валюты над спросом. В этих условиях Банк России сдерживал чрезмерное укрепление рубля: рублевая стоимость бивалютной корзины по итогам периода практически не изменилась, составив на 1 мая 30,04 руб. против 30,07 руб. на 1 апреля.</w:t>
      </w:r>
    </w:p>
    <w:p w:rsidR="00112313" w:rsidRDefault="000E3B4E">
      <w:pPr>
        <w:pStyle w:val="a3"/>
      </w:pPr>
      <w:r>
        <w:t>Поддержание стоимости бивалютной корзины потребовало существенного увеличения объема интервенций со стороны Банка России. Объем покупки долларов США на внутреннем валютном рынке в апреле возрос более чем в 2 раза относительно аналогичного показателя за март и составил 16,2 млрд. долл. США (рис. 1). Объем покупки евро также увеличился и составил 54,1 млн. евро.</w:t>
      </w:r>
    </w:p>
    <w:p w:rsidR="00112313" w:rsidRDefault="00FD38B4">
      <w:pPr>
        <w:pStyle w:val="a3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1" type="#_x0000_t75" style="width:24pt;height:24pt"/>
        </w:pict>
      </w:r>
    </w:p>
    <w:p w:rsidR="00112313" w:rsidRDefault="000E3B4E">
      <w:pPr>
        <w:pStyle w:val="a3"/>
      </w:pPr>
      <w:r>
        <w:t>Рис.1. Динамика в рублевой стоимости бивалютной корзины и интервенции Банка России</w:t>
      </w:r>
      <w:hyperlink w:anchor="_ftn1" w:history="1">
        <w:r>
          <w:rPr>
            <w:rStyle w:val="a4"/>
          </w:rPr>
          <w:t>[1]</w:t>
        </w:r>
      </w:hyperlink>
    </w:p>
    <w:bookmarkStart w:id="3" w:name="_ftn1"/>
    <w:p w:rsidR="00112313" w:rsidRDefault="000E3B4E">
      <w:pPr>
        <w:pStyle w:val="a3"/>
      </w:pPr>
      <w:r>
        <w:fldChar w:fldCharType="begin"/>
      </w:r>
      <w:r>
        <w:instrText xml:space="preserve"> HYPERLINK "" \l "_ftnref1" \o "" </w:instrText>
      </w:r>
      <w:r>
        <w:fldChar w:fldCharType="separate"/>
      </w:r>
      <w:r>
        <w:rPr>
          <w:color w:val="0000FF"/>
          <w:u w:val="single"/>
        </w:rPr>
        <w:br w:type="textWrapping" w:clear="all"/>
      </w:r>
      <w:r>
        <w:rPr>
          <w:rStyle w:val="a4"/>
        </w:rPr>
        <w:t>[1]</w:t>
      </w:r>
      <w:r>
        <w:fldChar w:fldCharType="end"/>
      </w:r>
      <w:r>
        <w:t>Центральный Банк РФ. Официальный сайт // http://www.cbr.ru</w:t>
      </w:r>
    </w:p>
    <w:p w:rsidR="00112313" w:rsidRDefault="000E3B4E">
      <w:pPr>
        <w:pStyle w:val="a3"/>
      </w:pPr>
      <w:r>
        <w:t>По итогам апреля 2006г. официальный курс доллара США к рублю снизился на 1,5% с 27,70 до 27,27 руб./долл. США (рис 2). Официальный курс евро к рублю возрос на 1,7% с 33,63 до 34,19 руб./евро.</w:t>
      </w:r>
    </w:p>
    <w:p w:rsidR="00112313" w:rsidRDefault="00FD38B4">
      <w:pPr>
        <w:pStyle w:val="a3"/>
      </w:pPr>
      <w:r>
        <w:rPr>
          <w:noProof/>
        </w:rPr>
        <w:pict>
          <v:shape id="_x0000_i1034" type="#_x0000_t75" style="width:24pt;height:24pt"/>
        </w:pict>
      </w:r>
    </w:p>
    <w:p w:rsidR="00112313" w:rsidRDefault="000E3B4E">
      <w:pPr>
        <w:pStyle w:val="a3"/>
      </w:pPr>
      <w:r>
        <w:t>Рис.2. Динамика официальных курсов доллара США и евро к рублю</w:t>
      </w:r>
      <w:hyperlink w:anchor="_ftn1" w:history="1">
        <w:r>
          <w:rPr>
            <w:rStyle w:val="a4"/>
          </w:rPr>
          <w:t>[1]</w:t>
        </w:r>
      </w:hyperlink>
      <w:bookmarkEnd w:id="0"/>
    </w:p>
    <w:p w:rsidR="00112313" w:rsidRDefault="000E3B4E">
      <w:pPr>
        <w:pStyle w:val="a3"/>
      </w:pPr>
      <w:r>
        <w:t>Реальный эффективный курс рубля за январь-апрель 2006 года возрос на 6,5% к декабрю 2005 года (6,2% за январь-март). Реальный курс рубля к доллару США вырос на 7,9%, к евро – на 5,7% (6,9% и 6,5% соответственно за январь-март 2006 года).(рис.3)</w:t>
      </w:r>
    </w:p>
    <w:p w:rsidR="00112313" w:rsidRDefault="00FD38B4">
      <w:pPr>
        <w:pStyle w:val="a3"/>
      </w:pPr>
      <w:r>
        <w:rPr>
          <w:noProof/>
        </w:rPr>
        <w:pict>
          <v:shape id="_x0000_i1037" type="#_x0000_t75" style="width:24pt;height:24pt"/>
        </w:pict>
      </w:r>
    </w:p>
    <w:p w:rsidR="00112313" w:rsidRDefault="000E3B4E">
      <w:pPr>
        <w:pStyle w:val="a3"/>
      </w:pPr>
      <w:r>
        <w:t>Рис.3. Динамика производных показателей курса рубля к иностранным валютам</w:t>
      </w:r>
      <w:hyperlink w:anchor="_ftn2" w:history="1">
        <w:r>
          <w:rPr>
            <w:rStyle w:val="a4"/>
          </w:rPr>
          <w:t>[2]</w:t>
        </w:r>
      </w:hyperlink>
      <w:bookmarkEnd w:id="1"/>
    </w:p>
    <w:p w:rsidR="00112313" w:rsidRDefault="000E3B4E">
      <w:pPr>
        <w:pStyle w:val="a3"/>
      </w:pPr>
      <w:r>
        <w:t>Среднедневной оборот торгов биржевого сегмента внутреннего валютного рынка в апреле значительно увеличился, в основном за счет возросших на 19,2% оборотов торгов по инструменту «рубль/доллар США», и составил 4,0 млрд. долл. США, что обусловлено, в частности, возросшим присутствием на указанном сегменте Банка России (рис. 4 и 5).</w:t>
      </w:r>
    </w:p>
    <w:p w:rsidR="00112313" w:rsidRDefault="00FD38B4">
      <w:pPr>
        <w:pStyle w:val="a3"/>
      </w:pPr>
      <w:r>
        <w:rPr>
          <w:noProof/>
        </w:rPr>
        <w:pict>
          <v:shape id="_x0000_i1040" type="#_x0000_t75" style="width:24pt;height:24pt"/>
        </w:pict>
      </w:r>
    </w:p>
    <w:p w:rsidR="00112313" w:rsidRDefault="000E3B4E">
      <w:pPr>
        <w:pStyle w:val="a3"/>
      </w:pPr>
      <w:r>
        <w:t>Рис.4. Совокупные объемы торгов на ЕТС по инструменту «рубль/доллар США»</w:t>
      </w:r>
      <w:hyperlink w:anchor="_ftn3" w:history="1">
        <w:r>
          <w:rPr>
            <w:rStyle w:val="a4"/>
          </w:rPr>
          <w:t>[3]</w:t>
        </w:r>
      </w:hyperlink>
      <w:bookmarkEnd w:id="2"/>
    </w:p>
    <w:p w:rsidR="00112313" w:rsidRDefault="00FD38B4">
      <w:pPr>
        <w:pStyle w:val="a3"/>
      </w:pPr>
      <w:r>
        <w:rPr>
          <w:noProof/>
        </w:rPr>
        <w:pict>
          <v:shape id="_x0000_i1043" type="#_x0000_t75" style="width:24pt;height:24pt"/>
        </w:pict>
      </w:r>
    </w:p>
    <w:p w:rsidR="00112313" w:rsidRDefault="000E3B4E">
      <w:pPr>
        <w:pStyle w:val="a3"/>
      </w:pPr>
      <w:r>
        <w:t>Рис.5. Совокупные объемы торгов на ЕТС по инструменту «рубль/евро»</w:t>
      </w:r>
      <w:bookmarkStart w:id="4" w:name="_ftnref4"/>
      <w:r>
        <w:fldChar w:fldCharType="begin"/>
      </w:r>
      <w:r>
        <w:instrText xml:space="preserve"> HYPERLINK "" \l "_ftn4" \o "" </w:instrText>
      </w:r>
      <w:r>
        <w:fldChar w:fldCharType="separate"/>
      </w:r>
      <w:r>
        <w:rPr>
          <w:rStyle w:val="a4"/>
        </w:rPr>
        <w:t>[4]</w:t>
      </w:r>
      <w:r>
        <w:fldChar w:fldCharType="end"/>
      </w:r>
      <w:bookmarkEnd w:id="4"/>
    </w:p>
    <w:p w:rsidR="00112313" w:rsidRDefault="000E3B4E">
      <w:pPr>
        <w:pStyle w:val="a3"/>
      </w:pPr>
      <w:r>
        <w:t>В то же время совокупный средний дневной оборот межбанковских кассовых конверсионных операций за указанный период уменьшился на 16,4% и составил 32,6 млрд. долл. США. Основную долю указанного оборота по-прежнему составляли операции с инструментами «рубль/доллар США» и «доллар США/евро», которые достигли в долларовом эквиваленте 22,6 млрд. долл. США и 6,5 млрд. долл. США соответственно.</w:t>
      </w:r>
    </w:p>
    <w:p w:rsidR="00112313" w:rsidRDefault="000E3B4E">
      <w:pPr>
        <w:pStyle w:val="a3"/>
      </w:pPr>
      <w:r>
        <w:t>Среднедневной объем торгов на ЕТС по инструменту «рубль/доллар США» с расчетами «завтра» в апреле возрос на 39,3% по сравнению с мартом до 1,73 млрд. долл. США, что было обусловлено, в частности, увеличением объема интервенций Банка России. Среднедневной объем торгов на ЕТС по инструменту «рубль/доллар США» с расчетами «сегодня» снизился на 2,2% до 0,7 млрд. долл. США. Среднедневной объем операций «валютный своп» в апреле оказался выше аналогичного показателя за предыдущий период на 12,6% и составил 1,5 млрд. долл. США. В результате совокупный среднедневной оборот торгов на ЕТС по инструменту «рубль/доллар США» в апреле увеличился по сравнению с мартом на 19,2% и составил 3,9 млрд. долларов США.</w:t>
      </w:r>
    </w:p>
    <w:p w:rsidR="00112313" w:rsidRDefault="000E3B4E">
      <w:pPr>
        <w:pStyle w:val="a3"/>
      </w:pPr>
      <w:r>
        <w:t>Совокупный межбанковский среднедневной оборот по инструменту «рубль/доллар США» за указанный период уменьшился на 11,2% по сравнению с предыдущим периодом и составил 22,6 млрд. долл. США.</w:t>
      </w:r>
    </w:p>
    <w:p w:rsidR="00112313" w:rsidRDefault="000E3B4E">
      <w:pPr>
        <w:pStyle w:val="a3"/>
      </w:pPr>
      <w:r>
        <w:t>Среднедневной объем торгов ЕТС по инструменту «рубль/евро» в апреле увеличился по сравнению с мартом на 8,8% до 34,8 млн. евро. Совокупный межбанковский среднедневной оборот по инструменту «рубль/евро» уменьшился на 10,9%, составив в долларовом эквиваленте 385,0 млн. долл. США. Среднедневной оборот по инструменту «доллар США/евро» в апреле 2006года сократился более чем на треть с 10,1 млрд. долл. США до 6,5 млрд. долл. США. В целом средний дневной оборот межбанковских кассовых конверсионных операций снизился на 16,4% с 39,0 млрд. долл. США в марте до 32,6 млрд. долл. США в апреле.</w:t>
      </w:r>
    </w:p>
    <w:p w:rsidR="00112313" w:rsidRDefault="000E3B4E">
      <w:pPr>
        <w:pStyle w:val="a3"/>
      </w:pPr>
      <w:r>
        <w:t>3. Россия: доллар или евро</w:t>
      </w:r>
    </w:p>
    <w:p w:rsidR="00112313" w:rsidRDefault="000E3B4E">
      <w:pPr>
        <w:pStyle w:val="a3"/>
      </w:pPr>
      <w:r>
        <w:t>Последние события на мировом валютном рынке дают основания задуматься о перспективах курса американской валюты по отношению к другим валютам, в том числе и к рублю. Слишком высокий курс доллара не только по отношению к рублю, но и к таким гораздо более устойчивым валютам, как евро, фунт стерлингов или японская йена в свое время стал следствием экспансии американского капитала по всему миру. По некоторым оценкам, к основным валютам доллар был завышен примерно на 15 проц. Вместе с тем, негативные тенденции в американской экономике рано или поздно должны были заставить задуматься о том, насколько оправдано такое положение. Не оправдано</w:t>
      </w:r>
      <w:bookmarkStart w:id="5" w:name="_ftnref5"/>
      <w:r>
        <w:fldChar w:fldCharType="begin"/>
      </w:r>
      <w:r>
        <w:instrText xml:space="preserve"> HYPERLINK "" \l "_ftn5" \o "" </w:instrText>
      </w:r>
      <w:r>
        <w:fldChar w:fldCharType="separate"/>
      </w:r>
      <w:r>
        <w:rPr>
          <w:rStyle w:val="a4"/>
        </w:rPr>
        <w:t>[5]</w:t>
      </w:r>
      <w:r>
        <w:fldChar w:fldCharType="end"/>
      </w:r>
      <w:bookmarkEnd w:id="5"/>
      <w:r>
        <w:t>.</w:t>
      </w:r>
    </w:p>
    <w:p w:rsidR="00112313" w:rsidRDefault="000E3B4E">
      <w:pPr>
        <w:pStyle w:val="a3"/>
      </w:pPr>
      <w:r>
        <w:t>Сильная экономика вполне совместима с сильной национальной валютой. Слабая экономика с сильной валютой – тоже, но только недолго. В конце концов, ослабление экономики ведет к ослаблению валюты. Нынешняя администрация может отойти от политики сильного доллара – или следующая за ней. Но рано или поздно это произойдет, вопрос в том, кто возьмет на себя за это ответственность. Еще это вопрос политический: потеря статуса ведущей мировой державы в пользу, например, Европы сулит уход американской экономики в «тень». Это уже не даст право занимать ключевые позиции в международных организациях и использовать другие выгоды, связанные с привилегированным положением.</w:t>
      </w:r>
    </w:p>
    <w:p w:rsidR="00112313" w:rsidRDefault="000E3B4E">
      <w:pPr>
        <w:pStyle w:val="a3"/>
      </w:pPr>
      <w:r>
        <w:t>Что касается того, ослабнет ли доллар, и если да, то насколько скоро, то здесь учета состояния только американской экономики недостаточно. Это вопрос, решение которого в гораздо меньшей степени зависит от состояния американской экономики, и в гораздо большей – от экономики других развитых стран.</w:t>
      </w:r>
    </w:p>
    <w:p w:rsidR="00112313" w:rsidRDefault="000E3B4E">
      <w:pPr>
        <w:pStyle w:val="a3"/>
      </w:pPr>
      <w:r>
        <w:t>У евро гораздо больше проблем, чем у доллара. Во-первых, объединенная Европа с единой валютой – это скорее мечта, чем реальность. Налицо имеющиеся трудности, связанные с функционированием различных финансовых, правовых и других систем. В США такой проблемы просто нет, а в Европе ее просто необходимо решить для того, чтобы стать политическим и экономическим лидером. Единственным преимуществом евро перед долларом являются более высокие темпы экономического роста и более высокие процентные ставки. Этого может оказаться недостаточно.</w:t>
      </w:r>
    </w:p>
    <w:p w:rsidR="00112313" w:rsidRDefault="000E3B4E">
      <w:pPr>
        <w:pStyle w:val="a3"/>
      </w:pPr>
      <w:r>
        <w:t>Несмотря на то, что с экономикой в Европе сейчас более благополучная ситуация, последние данные по ВВП Германии (являющейся движущей силой объединенной Европы) показали неожиданное замедление темпов роста, что стало следствием нестабильной ситуации, в том числе и в США.</w:t>
      </w:r>
    </w:p>
    <w:p w:rsidR="00112313" w:rsidRDefault="000E3B4E">
      <w:pPr>
        <w:pStyle w:val="a3"/>
      </w:pPr>
      <w:r>
        <w:t>Ограничением для расширения сферы обращения евро в России является преобладание в российском экспорте топливно-сырьевых ресурсов, цены на которые на мировом рынке котируются в долларах, соответственно и расчеты осуществляются в американской валюте. Поэтому предложение евро на внутреннем валютном рынке ограничено. Эту ситуацию мог бы изменить перевод расчетов за энергоносители со странами ЕС в евро. В нем заинтересован Европейский Союз, поскольку это будет означать расширение сферы обращения европейской валюты</w:t>
      </w:r>
      <w:bookmarkStart w:id="6" w:name="_ftnref6"/>
      <w:r>
        <w:fldChar w:fldCharType="begin"/>
      </w:r>
      <w:r>
        <w:instrText xml:space="preserve"> HYPERLINK "" \l "_ftn6" \o "" </w:instrText>
      </w:r>
      <w:r>
        <w:fldChar w:fldCharType="separate"/>
      </w:r>
      <w:r>
        <w:rPr>
          <w:rStyle w:val="a4"/>
        </w:rPr>
        <w:t>[6]</w:t>
      </w:r>
      <w:r>
        <w:fldChar w:fldCharType="end"/>
      </w:r>
      <w:bookmarkEnd w:id="6"/>
      <w:r>
        <w:t>.</w:t>
      </w:r>
    </w:p>
    <w:p w:rsidR="00112313" w:rsidRDefault="000E3B4E">
      <w:pPr>
        <w:pStyle w:val="a3"/>
      </w:pPr>
      <w:r>
        <w:t>Рост курса евро приводит к двум важным последствиям: росту цен на импортируемые товары и услуги и повышению привлекательности евро как валюты сбережения.</w:t>
      </w:r>
    </w:p>
    <w:p w:rsidR="00112313" w:rsidRDefault="000E3B4E">
      <w:pPr>
        <w:pStyle w:val="a3"/>
      </w:pPr>
      <w:r>
        <w:t>Серьезной проблемой для российской экономики является так называемая импортируемая инфляция, поскольку значительная часть российского импорта — 38,6% — закупается в странах ЕС. Вследствие подорожания европейской продукции импортерам приходится изыскивать дополнительные средства и закладывать при формировании внутренних цен существующий курсовой риск.</w:t>
      </w:r>
    </w:p>
    <w:p w:rsidR="00112313" w:rsidRDefault="000E3B4E">
      <w:pPr>
        <w:pStyle w:val="a3"/>
      </w:pPr>
      <w:r>
        <w:t>Целесообразность перехода российских фирм на единую европейскую валюту определяется долей импортных комплектующих в выпускаемой продукции и уровнем рентабельности. Наиболее очевидным примером такой отрасли является туризм. Поскольку россияне посещают в основном страны, либо входящие в зону евро, либо тесно с ней связанные, для туристических агентств вполне оправданным становится переход на цены в евро.</w:t>
      </w:r>
    </w:p>
    <w:p w:rsidR="00112313" w:rsidRDefault="000E3B4E">
      <w:pPr>
        <w:pStyle w:val="a3"/>
      </w:pPr>
      <w:r>
        <w:t>В ряде других отраслей замена цен в «у.е.» с доллара на евро зачастую экономически не обоснована и выступает способом получения дополнительной прибыли.</w:t>
      </w:r>
    </w:p>
    <w:p w:rsidR="00112313" w:rsidRDefault="000E3B4E">
      <w:pPr>
        <w:pStyle w:val="a3"/>
      </w:pPr>
      <w:r>
        <w:t>Однако здесь у европейской валюты имеется ряд ограничений: она еще слишком «молода» и характеризуется большими колебаниями курса. Пока рынок евро в России имеет низкую ликвидность. Подверженность европейской валюты сильным колебаниям негативно сказывается на использовании этой валюты российскими предприятиями и населением. Евро пока больше подходит для спекулятивных финансовых операций, чем для долгосрочных вложений. Тем не менее, перспективы у европейской валюты, безусловно, имеются поскольку она опирается на значительный экономический потенциал и устойчивые внешние связи</w:t>
      </w:r>
      <w:bookmarkStart w:id="7" w:name="_ftnref7"/>
      <w:r>
        <w:fldChar w:fldCharType="begin"/>
      </w:r>
      <w:r>
        <w:instrText xml:space="preserve"> HYPERLINK "" \l "_ftn7" \o "" </w:instrText>
      </w:r>
      <w:r>
        <w:fldChar w:fldCharType="separate"/>
      </w:r>
      <w:r>
        <w:rPr>
          <w:rStyle w:val="a4"/>
        </w:rPr>
        <w:t>[7]</w:t>
      </w:r>
      <w:r>
        <w:fldChar w:fldCharType="end"/>
      </w:r>
      <w:bookmarkEnd w:id="7"/>
      <w:r>
        <w:t>.</w:t>
      </w:r>
    </w:p>
    <w:p w:rsidR="00112313" w:rsidRDefault="000E3B4E">
      <w:pPr>
        <w:pStyle w:val="a3"/>
      </w:pPr>
      <w:r>
        <w:t>Соотношение курсов двух валют на мировом рынке может меняться. Как это отразится на российском рубле? Рубль не настолько сильная валюта, что претендовать на участие в треугольнике евро-доллар-рубль. Поэтому курс доллара и курс евро в рублях будет лишь отражать отношение между двумя первыми, но никак не с рублем. Да, в рублях евро может вырасти или упасть, но эти колебания будут вызваны исключительно отношением евро и доллара. Курс рубля к доллару останется на прежнем уровне, и его колебания и далее будут определяться валютной политикой ЦБ РФ. Естественно, ЦБ РФ не может влиять на рынок евро/доллар. Поэтому российское население, в большинстве своем имеющее сбережения в долларах, может чувствовать себя спокойно.</w:t>
      </w:r>
    </w:p>
    <w:p w:rsidR="00112313" w:rsidRDefault="000E3B4E">
      <w:pPr>
        <w:pStyle w:val="a3"/>
      </w:pPr>
      <w:r>
        <w:t>По большому счету, такая зависимость сбережений - источников инвестиций в экономику - от курсов иностранных валют недопустима. Постепенная дедолларизация российской экономики нужна для долгосрочного экономического роста. Тогда российское население гораздо меньше будет интересовать курс доллара или евро. При выборе между долларом и евро они сделают свой выбор в пользу рубля</w:t>
      </w:r>
    </w:p>
    <w:p w:rsidR="00112313" w:rsidRDefault="000E3B4E">
      <w:pPr>
        <w:pStyle w:val="a3"/>
      </w:pPr>
      <w:r>
        <w:t>Заключение</w:t>
      </w:r>
    </w:p>
    <w:p w:rsidR="00112313" w:rsidRDefault="000E3B4E">
      <w:pPr>
        <w:pStyle w:val="a3"/>
      </w:pPr>
      <w:r>
        <w:t>Таким образом, интеграционные процессы среди развитых и приближающихся к ним в своем развитии стан явно активизируется. Однако никакому другому региону планеты не удалось до сих пор так далеко зайти в объединении, как в Европе.</w:t>
      </w:r>
    </w:p>
    <w:p w:rsidR="00112313" w:rsidRDefault="000E3B4E">
      <w:pPr>
        <w:pStyle w:val="a3"/>
      </w:pPr>
      <w:r>
        <w:t>Весь мир с особым вниманием наблюдает за всеми перипетиями этого процесса, так как именно от его исхода в конечном счете зависит архитектура общечеловеческого социума завтрашнего дня – будет ли мир, как сегодня, однополюсным или превратится в многополюсное образование, сохранится ли лидирующая роль европейской цивилизации или центральным вектором развития будет другой путь и так далее. Осуществление этого проекта представляет особую важность еще и потому, что в случае его успеха примеру Европы могут последовать и другие интегрирующие регионы. Поэтому мировая пресса внимательно следит за тем, как ведет себя евро – самая молодая валюта Земли. Любые колебания ее курса вызывают поток публикации с подробным анализом и порой самыми противоречивыми и неожиданными выводами и прогнозами. Уже сейчас можно сказать, что «эпоха доллара» уже закончилась. Об этом свидетельствуют почти все последние курсы валют крупнейших мировых банков. Это связано не только с нарастающим в последнее время экономическим кризисом Соединенных Штатов, но, прежде всего, с возрастанием роли Единой Европы на международной арене.</w:t>
      </w:r>
    </w:p>
    <w:p w:rsidR="00112313" w:rsidRDefault="000E3B4E">
      <w:pPr>
        <w:pStyle w:val="a3"/>
      </w:pPr>
      <w:r>
        <w:t>Объем покупки долларов США Банком России за апрель 2006ода более чем вдвое превысил соответствующий показатель за март и составил 16,2 млрд. долл. США. Объем покупки евро Банком России за апрель составил 54,1 млн. евро, что многократно превышает аналогичный показатель за предыдущий месяц.</w:t>
      </w:r>
    </w:p>
    <w:p w:rsidR="00112313" w:rsidRDefault="000E3B4E">
      <w:pPr>
        <w:pStyle w:val="a3"/>
      </w:pPr>
      <w:r>
        <w:t>Структура сбережений в России постепенно сдвигается в сторону евро, в том числе под влиянием роста его курса.</w:t>
      </w:r>
    </w:p>
    <w:p w:rsidR="00112313" w:rsidRDefault="000E3B4E">
      <w:pPr>
        <w:pStyle w:val="a3"/>
      </w:pPr>
      <w:r>
        <w:t>На наш взгляд, несмотря на достаточно существенные изменения, европейская валюта еще не может составить серьезную конкуренцию доллару в России, что подтверждается низкой долей сделок, совершаемых в евро. Если в странах Центральной и Восточной Европы, которые ориентированы на вступление в ЕС, евроизация действительно развита больше, нежели долларизация, то в России это далеко не так</w:t>
      </w:r>
    </w:p>
    <w:p w:rsidR="00112313" w:rsidRDefault="000E3B4E">
      <w:pPr>
        <w:pStyle w:val="a3"/>
      </w:pPr>
      <w:r>
        <w:t>Потеснить доллар с пьедестала главной валюты международных расчетов в ближайшем будущем вряд ли удастся. Главная причина — приверженность стран Азии к доллару, а именно они играют первую скрипку в росте международного торгового оборота. Однако общая тенденция роста доли евро будет прослеживаться во многом благодаря желанию центробанков различных стран диверсифицировать валютные резервы. В том числе и российского ЦБ.</w:t>
      </w:r>
    </w:p>
    <w:p w:rsidR="00112313" w:rsidRDefault="000E3B4E">
      <w:pPr>
        <w:pStyle w:val="a3"/>
      </w:pPr>
      <w:r>
        <w:t>Список литературы</w:t>
      </w:r>
    </w:p>
    <w:p w:rsidR="00112313" w:rsidRDefault="000E3B4E">
      <w:pPr>
        <w:pStyle w:val="a3"/>
      </w:pPr>
      <w:r>
        <w:t>Федеральный закон “О Центральном банке Российской Федерации (Банке России)” от 27.06.2002 г.</w:t>
      </w:r>
    </w:p>
    <w:p w:rsidR="00112313" w:rsidRDefault="000E3B4E">
      <w:pPr>
        <w:pStyle w:val="a3"/>
      </w:pPr>
      <w:r>
        <w:t>Федеральный закон “О банках и банковской деятельности” от 23.12.2003 г. № 181-ФЗ.</w:t>
      </w:r>
    </w:p>
    <w:p w:rsidR="00112313" w:rsidRDefault="000E3B4E">
      <w:pPr>
        <w:pStyle w:val="a3"/>
      </w:pPr>
      <w:r>
        <w:t>Федеральный закон “О валютном регулировании и валютном контроле” от 10.12.2003 № 173-ФЗ</w:t>
      </w:r>
    </w:p>
    <w:p w:rsidR="00112313" w:rsidRDefault="000E3B4E">
      <w:pPr>
        <w:pStyle w:val="a3"/>
      </w:pPr>
      <w:r>
        <w:t>Федеральный закон «О внесении изменений в Федеральный Закон «О противодействии легализации (отмыванию) доходов, полученных преступных путем, и финансированию терроризма» от 28 июля 2004 года. N 88-ФЗ.</w:t>
      </w:r>
    </w:p>
    <w:p w:rsidR="00112313" w:rsidRDefault="000E3B4E">
      <w:pPr>
        <w:pStyle w:val="a3"/>
      </w:pPr>
      <w:r>
        <w:t>Актуальные проблемы нового валютного режима // Е. Смирнов. Методический журнал «Международные банковские операции» № 4/2004</w:t>
      </w:r>
    </w:p>
    <w:p w:rsidR="00112313" w:rsidRDefault="000E3B4E">
      <w:pPr>
        <w:pStyle w:val="a3"/>
      </w:pPr>
      <w:r>
        <w:t>Баринов Э.А., Хмыз О.В. Рынки: валютные и ценных бумаг.- М.: Экзамен, 2003.</w:t>
      </w:r>
    </w:p>
    <w:p w:rsidR="00112313" w:rsidRDefault="000E3B4E">
      <w:pPr>
        <w:pStyle w:val="a3"/>
      </w:pPr>
      <w:r>
        <w:t>Борисов С.М. Валютная сфера тоже нуждается в реформе. – М.: ЮНИТИ, 2002.</w:t>
      </w:r>
    </w:p>
    <w:p w:rsidR="00112313" w:rsidRDefault="000E3B4E">
      <w:pPr>
        <w:pStyle w:val="a3"/>
      </w:pPr>
      <w:r>
        <w:t>Борко Ю.В. Европейский союз: углубление и расширение интеграции// МЭиМО №8 1998г.</w:t>
      </w:r>
    </w:p>
    <w:p w:rsidR="00112313" w:rsidRDefault="000E3B4E">
      <w:pPr>
        <w:pStyle w:val="a3"/>
      </w:pPr>
      <w:r>
        <w:t>Бурлак Г.Н., Кузнецова О.И. Техника валютных операций (второе издание). – М.: ЮНИТИ, 2002. – 87 с.</w:t>
      </w:r>
    </w:p>
    <w:p w:rsidR="00112313" w:rsidRDefault="000E3B4E">
      <w:pPr>
        <w:pStyle w:val="a3"/>
      </w:pPr>
      <w:r>
        <w:t>Буторина О.В. Создание экономического и валютного союза – новая ступень европейской интеграции. Деньги и кредит, №11, 1998г.</w:t>
      </w:r>
    </w:p>
    <w:p w:rsidR="00112313" w:rsidRDefault="000E3B4E">
      <w:pPr>
        <w:pStyle w:val="a3"/>
      </w:pPr>
      <w:r>
        <w:t>Верхов В.А. Влияние ЕВРО на банковскую систему европейских стран. Бухгалтерия и банки, №1, 2003г.</w:t>
      </w:r>
    </w:p>
    <w:p w:rsidR="00112313" w:rsidRDefault="000E3B4E">
      <w:pPr>
        <w:pStyle w:val="a3"/>
      </w:pPr>
      <w:r>
        <w:t>Володин Ф. Г. Валютная политика ЦБ: структурный анализ и новации // Банковские услуги. - 2004. - N 5. - С. 2-10</w:t>
      </w:r>
    </w:p>
    <w:p w:rsidR="00112313" w:rsidRDefault="000E3B4E">
      <w:pPr>
        <w:pStyle w:val="a3"/>
      </w:pPr>
      <w:r>
        <w:t>Долгов С.И. Единая валюта стран Европейского союза – ЕВРО: проблемы и перспективы. Деньги и кредит, №7, 1998г.</w:t>
      </w:r>
    </w:p>
    <w:p w:rsidR="00112313" w:rsidRDefault="000E3B4E">
      <w:pPr>
        <w:pStyle w:val="a3"/>
      </w:pPr>
      <w:r>
        <w:t>Доронин И.Г. Валютный рынок России. – М.: Финансы, 2000. – 180 с.</w:t>
      </w:r>
    </w:p>
    <w:p w:rsidR="00112313" w:rsidRDefault="000E3B4E">
      <w:pPr>
        <w:pStyle w:val="a3"/>
      </w:pPr>
      <w:r>
        <w:t>Евроденьги: Европейский Центральный банк./Перевод Родниной Т.А. «Су Динеро» №153, 03.01.1999г.</w:t>
      </w:r>
    </w:p>
    <w:p w:rsidR="00112313" w:rsidRDefault="000E3B4E">
      <w:pPr>
        <w:pStyle w:val="a3"/>
      </w:pPr>
      <w:r>
        <w:t>Европейский центральный банк сдает свою валюту. Коммерсант Дейли, 17.11.2000г</w:t>
      </w:r>
    </w:p>
    <w:p w:rsidR="00112313" w:rsidRDefault="000E3B4E">
      <w:pPr>
        <w:pStyle w:val="a3"/>
      </w:pPr>
      <w:r>
        <w:t>Ершов М. Банковская система и развитие российской экономики // Мировая экономика и международные отношения. - 2005. - N 3. - С.28-34.</w:t>
      </w:r>
    </w:p>
    <w:p w:rsidR="00112313" w:rsidRDefault="000E3B4E">
      <w:pPr>
        <w:pStyle w:val="a3"/>
      </w:pPr>
      <w:r>
        <w:t>Жуков Н.И., Из истории мировых валютных систем // ЭКО, 1997, №7</w:t>
      </w:r>
    </w:p>
    <w:p w:rsidR="00112313" w:rsidRDefault="000E3B4E">
      <w:pPr>
        <w:pStyle w:val="a3"/>
      </w:pPr>
      <w:r>
        <w:t>Золотухина Т.И. Интеграционные процессы в Европе: введение единой валюты// Вопросы экономики №9 1998г.</w:t>
      </w:r>
    </w:p>
    <w:p w:rsidR="00112313" w:rsidRDefault="000E3B4E">
      <w:pPr>
        <w:pStyle w:val="a3"/>
      </w:pPr>
      <w:r>
        <w:t>Игнатьев С. Денежно-кредитная политика ЦБ РФ // Экономика России - ХХI век. - 2003. - N 12. - С.14-15.</w:t>
      </w:r>
    </w:p>
    <w:p w:rsidR="00112313" w:rsidRDefault="000E3B4E">
      <w:pPr>
        <w:pStyle w:val="a3"/>
      </w:pPr>
      <w:r>
        <w:t>Климович В.П. Финансы, денежное обращение, кредит: Учебник. – М.: Форум: Инфра-М, 2005.</w:t>
      </w:r>
    </w:p>
    <w:p w:rsidR="00112313" w:rsidRDefault="000E3B4E">
      <w:pPr>
        <w:pStyle w:val="a3"/>
      </w:pPr>
      <w:r>
        <w:t>Козлов А.А. Некоторые актуальные вопросы развития банковского сектора России // Деньги и кредит. - 2004. - N 2. - С.3-6.</w:t>
      </w:r>
    </w:p>
    <w:p w:rsidR="00112313" w:rsidRDefault="000E3B4E">
      <w:pPr>
        <w:pStyle w:val="a3"/>
      </w:pPr>
      <w:r>
        <w:t>Комментарий к Федеральному закону о валютном регулировании и валютном контроле /А. Д. Куликов, Н. В. Новичихина, Ю. В. Сапожникова, М. Ю. Тихомиров; Общ. ред. М. Ю. Тихомирова. - М.,2004. - 124 с.</w:t>
      </w:r>
    </w:p>
    <w:p w:rsidR="00112313" w:rsidRDefault="000E3B4E">
      <w:pPr>
        <w:pStyle w:val="a3"/>
      </w:pPr>
      <w:r>
        <w:t>Курс экономики: Учебник / Под ред. Б.А. Райзберга. – М.: Инфра-М, 2003.</w:t>
      </w:r>
    </w:p>
    <w:p w:rsidR="00112313" w:rsidRDefault="000E3B4E">
      <w:pPr>
        <w:pStyle w:val="a3"/>
      </w:pPr>
      <w:r>
        <w:t>Михайлов Д.М. Мировой финансовый рынок: тенденции и инструменты. - М.: Экзамен, 2003</w:t>
      </w:r>
    </w:p>
    <w:p w:rsidR="00112313" w:rsidRDefault="000E3B4E">
      <w:pPr>
        <w:pStyle w:val="a3"/>
      </w:pPr>
      <w:r>
        <w:t>Можайсков О.В. Перспективы золота: взгляд из Центрального банка // Деньги и кредит. - 2004. - N 6. - С.17-21.</w:t>
      </w:r>
    </w:p>
    <w:p w:rsidR="00112313" w:rsidRDefault="000E3B4E">
      <w:pPr>
        <w:pStyle w:val="a3"/>
      </w:pPr>
      <w:r>
        <w:t>Операции с ЕВРО на рынке капитала. Аналитический материал. Вестник Банка России №22 (450), 27.04.2004г.</w:t>
      </w:r>
    </w:p>
    <w:p w:rsidR="00112313" w:rsidRDefault="000E3B4E">
      <w:pPr>
        <w:pStyle w:val="a3"/>
      </w:pPr>
      <w:r>
        <w:t>Основные направления единой государственной денежно-кредитной политики на 2005 год: Варианты развития экономики страны // Финансовый бизнес. – 2004. - №11. – С.2-13.</w:t>
      </w:r>
    </w:p>
    <w:p w:rsidR="00112313" w:rsidRDefault="000E3B4E">
      <w:pPr>
        <w:pStyle w:val="a3"/>
      </w:pPr>
      <w:r>
        <w:t>Основы банковской деятельности: Учебник/Под ред. К.Р. Тагирбекова- М..: Финансы и статистика, 2004.</w:t>
      </w:r>
    </w:p>
    <w:p w:rsidR="00112313" w:rsidRDefault="000E3B4E">
      <w:pPr>
        <w:pStyle w:val="a3"/>
      </w:pPr>
      <w:r>
        <w:t>Пищик В.Я. Евро и доллар США. Конкуренция и партнерство в условиях глобализации. – М.: Издательство «Консалт-банкир», 2002. – С. 212.</w:t>
      </w:r>
    </w:p>
    <w:p w:rsidR="00112313" w:rsidRDefault="000E3B4E">
      <w:pPr>
        <w:pStyle w:val="a3"/>
      </w:pPr>
      <w:r>
        <w:t>Пищик В.Я. Процесс становления евро, проблемы и перспективы // Деньги и кредит, 2001, №6</w:t>
      </w:r>
    </w:p>
    <w:p w:rsidR="00112313" w:rsidRDefault="000E3B4E">
      <w:pPr>
        <w:pStyle w:val="a3"/>
      </w:pPr>
      <w:r>
        <w:t>Проблемы единой Европы // Экономика и управление в зарубежных странах. Информационный бюллетень, 2001, №4</w:t>
      </w:r>
    </w:p>
    <w:p w:rsidR="00112313" w:rsidRDefault="000E3B4E">
      <w:pPr>
        <w:pStyle w:val="a3"/>
      </w:pPr>
      <w:r>
        <w:t>Смирнов С. Соединенные Штаты евро: гуд бай, Америка? // Континент. – 2001. – №21. – С. 3</w:t>
      </w:r>
    </w:p>
    <w:p w:rsidR="00112313" w:rsidRDefault="000E3B4E">
      <w:pPr>
        <w:pStyle w:val="a3"/>
      </w:pPr>
      <w:r>
        <w:t>Усик М.В., Вне зоны евро: последствия европейской валютно-финансовой интеграции // Вестник МГУ, 1999, №6</w:t>
      </w:r>
    </w:p>
    <w:p w:rsidR="00112313" w:rsidRDefault="000E3B4E">
      <w:pPr>
        <w:pStyle w:val="a3"/>
      </w:pPr>
      <w:r>
        <w:t>Черковец О. Европейский союз: уроки интеграции. Экономист, №10, 1998г</w:t>
      </w:r>
    </w:p>
    <w:p w:rsidR="00112313" w:rsidRDefault="000E3B4E">
      <w:pPr>
        <w:pStyle w:val="a3"/>
      </w:pPr>
      <w:r>
        <w:t>Шмелев В.В. Рынок евровалют и его финансовые инструменты. Деньги и кредит, №1, 2003г.</w:t>
      </w:r>
    </w:p>
    <w:p w:rsidR="00112313" w:rsidRDefault="000E3B4E">
      <w:pPr>
        <w:pStyle w:val="a3"/>
      </w:pPr>
      <w:r>
        <w:t>Экономика России в зеркале статистики: 2002-2004 гг. // Экономика в школе. – 2004. - №2. – С.31-57.</w:t>
      </w:r>
    </w:p>
    <w:p w:rsidR="00112313" w:rsidRDefault="000E3B4E">
      <w:pPr>
        <w:pStyle w:val="a3"/>
      </w:pPr>
      <w:r>
        <w:t>Янис О. Что происходит с евро? // Мировая экономика и международные отношения. – 2001. – №2. – С. 78.</w:t>
      </w:r>
    </w:p>
    <w:p w:rsidR="00112313" w:rsidRDefault="000E3B4E">
      <w:pPr>
        <w:pStyle w:val="a3"/>
      </w:pPr>
      <w:r>
        <w:t>Материалы сайта Материалы сайта http://www.helpeducation.ru/</w:t>
      </w:r>
    </w:p>
    <w:p w:rsidR="00112313" w:rsidRDefault="000E3B4E">
      <w:pPr>
        <w:pStyle w:val="a3"/>
      </w:pPr>
      <w:r>
        <w:t>Инвестиционная группа «Регион» // http://www.region.ru</w:t>
      </w:r>
    </w:p>
    <w:p w:rsidR="00112313" w:rsidRDefault="000E3B4E">
      <w:pPr>
        <w:pStyle w:val="a3"/>
      </w:pPr>
      <w:r>
        <w:t>Федеральная служба по финансовым рынкам // http://www.fcsm.ru</w:t>
      </w:r>
    </w:p>
    <w:p w:rsidR="00112313" w:rsidRDefault="000E3B4E">
      <w:pPr>
        <w:pStyle w:val="a3"/>
      </w:pPr>
      <w:r>
        <w:t>Фондовая биржа «Российская Торговая система» // http://www.rts.ru</w:t>
      </w:r>
    </w:p>
    <w:p w:rsidR="00112313" w:rsidRDefault="000E3B4E">
      <w:pPr>
        <w:pStyle w:val="a3"/>
      </w:pPr>
      <w:r>
        <w:t>Центральный Банк РФ. Официальный сайт // http://www.cbr.ru</w:t>
      </w:r>
    </w:p>
    <w:p w:rsidR="00112313" w:rsidRDefault="000E3B4E">
      <w:pPr>
        <w:pStyle w:val="a3"/>
      </w:pPr>
      <w:r>
        <w:t>Европейский Центральный Банк //http://www.ecb.int</w:t>
      </w:r>
    </w:p>
    <w:p w:rsidR="00112313" w:rsidRDefault="00FD38B4">
      <w:pPr>
        <w:pStyle w:val="a3"/>
      </w:pPr>
      <w:hyperlink w:anchor="_ftnref1" w:history="1">
        <w:r w:rsidR="000E3B4E">
          <w:rPr>
            <w:rStyle w:val="a4"/>
          </w:rPr>
          <w:t>[1]</w:t>
        </w:r>
      </w:hyperlink>
      <w:bookmarkEnd w:id="3"/>
      <w:r w:rsidR="000E3B4E">
        <w:t>Центральный Банк РФ. Официальный сайт // http://www.cbr.ru</w:t>
      </w:r>
    </w:p>
    <w:p w:rsidR="00112313" w:rsidRDefault="000E3B4E">
      <w:pPr>
        <w:pStyle w:val="a3"/>
      </w:pPr>
      <w:r>
        <w:t> </w:t>
      </w:r>
      <w:bookmarkStart w:id="8" w:name="_ftn2"/>
      <w:r>
        <w:fldChar w:fldCharType="begin"/>
      </w:r>
      <w:r>
        <w:instrText xml:space="preserve"> HYPERLINK "" \l "_ftnref2" \o "" </w:instrText>
      </w:r>
      <w:r>
        <w:fldChar w:fldCharType="separate"/>
      </w:r>
      <w:r>
        <w:rPr>
          <w:rStyle w:val="a4"/>
        </w:rPr>
        <w:t>[2]</w:t>
      </w:r>
      <w:r>
        <w:fldChar w:fldCharType="end"/>
      </w:r>
      <w:bookmarkEnd w:id="8"/>
      <w:r>
        <w:t>Центральный Банк РФ. Официальный сайт // http://www.cbr.ru</w:t>
      </w:r>
    </w:p>
    <w:bookmarkStart w:id="9" w:name="_ftn3"/>
    <w:p w:rsidR="00112313" w:rsidRDefault="000E3B4E">
      <w:pPr>
        <w:pStyle w:val="a3"/>
      </w:pPr>
      <w:r>
        <w:fldChar w:fldCharType="begin"/>
      </w:r>
      <w:r>
        <w:instrText xml:space="preserve"> HYPERLINK "" \l "_ftnref3" \o "" </w:instrText>
      </w:r>
      <w:r>
        <w:fldChar w:fldCharType="separate"/>
      </w:r>
      <w:r>
        <w:rPr>
          <w:rStyle w:val="a4"/>
        </w:rPr>
        <w:t>[3]</w:t>
      </w:r>
      <w:r>
        <w:fldChar w:fldCharType="end"/>
      </w:r>
      <w:bookmarkEnd w:id="9"/>
      <w:r>
        <w:t>Центральный Банк РФ. Официальный сайт // http://www.cbr.ru</w:t>
      </w:r>
    </w:p>
    <w:p w:rsidR="00112313" w:rsidRDefault="000E3B4E">
      <w:pPr>
        <w:pStyle w:val="a3"/>
      </w:pPr>
      <w:r>
        <w:t> </w:t>
      </w:r>
      <w:bookmarkStart w:id="10" w:name="_ftn4"/>
      <w:r>
        <w:fldChar w:fldCharType="begin"/>
      </w:r>
      <w:r>
        <w:instrText xml:space="preserve"> HYPERLINK "" \l "_ftnref4" \o "" </w:instrText>
      </w:r>
      <w:r>
        <w:fldChar w:fldCharType="separate"/>
      </w:r>
      <w:r>
        <w:rPr>
          <w:rStyle w:val="a4"/>
        </w:rPr>
        <w:t>[4]</w:t>
      </w:r>
      <w:r>
        <w:fldChar w:fldCharType="end"/>
      </w:r>
      <w:bookmarkEnd w:id="10"/>
      <w:r>
        <w:t>Центральный Банк РФ. Официальный сайт // http://www.cbr.ru</w:t>
      </w:r>
    </w:p>
    <w:bookmarkStart w:id="11" w:name="_ftn5"/>
    <w:p w:rsidR="00112313" w:rsidRDefault="000E3B4E">
      <w:pPr>
        <w:pStyle w:val="a3"/>
      </w:pPr>
      <w:r>
        <w:fldChar w:fldCharType="begin"/>
      </w:r>
      <w:r>
        <w:instrText xml:space="preserve"> HYPERLINK "" \l "_ftnref5" \o "" </w:instrText>
      </w:r>
      <w:r>
        <w:fldChar w:fldCharType="separate"/>
      </w:r>
      <w:r>
        <w:rPr>
          <w:rStyle w:val="a4"/>
        </w:rPr>
        <w:t>[5]</w:t>
      </w:r>
      <w:r>
        <w:fldChar w:fldCharType="end"/>
      </w:r>
      <w:bookmarkEnd w:id="11"/>
      <w:r>
        <w:t>Материалы сайта Материалы сайта http://www.helpeducation.ru/</w:t>
      </w:r>
    </w:p>
    <w:p w:rsidR="00112313" w:rsidRDefault="000E3B4E">
      <w:pPr>
        <w:pStyle w:val="a3"/>
      </w:pPr>
      <w:r>
        <w:t> </w:t>
      </w:r>
      <w:bookmarkStart w:id="12" w:name="_ftn6"/>
      <w:r>
        <w:fldChar w:fldCharType="begin"/>
      </w:r>
      <w:r>
        <w:instrText xml:space="preserve"> HYPERLINK "" \l "_ftnref6" \o "" </w:instrText>
      </w:r>
      <w:r>
        <w:fldChar w:fldCharType="separate"/>
      </w:r>
      <w:r>
        <w:rPr>
          <w:rStyle w:val="a4"/>
        </w:rPr>
        <w:t>[6]</w:t>
      </w:r>
      <w:r>
        <w:fldChar w:fldCharType="end"/>
      </w:r>
      <w:bookmarkEnd w:id="12"/>
      <w:r>
        <w:t>Проблемы единой Европы // Экономика и управление в зарубежных странах. Информационный бюллетень, 2001, №4</w:t>
      </w:r>
    </w:p>
    <w:p w:rsidR="00112313" w:rsidRDefault="000E3B4E">
      <w:pPr>
        <w:pStyle w:val="a3"/>
      </w:pPr>
      <w:r>
        <w:t> </w:t>
      </w:r>
      <w:bookmarkStart w:id="13" w:name="_ftn7"/>
      <w:r>
        <w:fldChar w:fldCharType="begin"/>
      </w:r>
      <w:r>
        <w:instrText xml:space="preserve"> HYPERLINK "" \l "_ftnref7" \o "" </w:instrText>
      </w:r>
      <w:r>
        <w:fldChar w:fldCharType="separate"/>
      </w:r>
      <w:r>
        <w:rPr>
          <w:rStyle w:val="a4"/>
        </w:rPr>
        <w:t>[7]</w:t>
      </w:r>
      <w:r>
        <w:fldChar w:fldCharType="end"/>
      </w:r>
      <w:bookmarkEnd w:id="13"/>
      <w:r>
        <w:t>Ершов М. Банковская система и развитие российской экономики // Мировая экономика и международные  отношения. - 2005. - N 3. - С.28-34.</w:t>
      </w:r>
    </w:p>
    <w:p w:rsidR="00112313" w:rsidRDefault="000E3B4E">
      <w:pPr>
        <w:pStyle w:val="a3"/>
      </w:pPr>
      <w:r>
        <w:t>Работа предоставлена пользователем Student..</w:t>
      </w:r>
      <w:bookmarkStart w:id="14" w:name="_GoBack"/>
      <w:bookmarkEnd w:id="14"/>
    </w:p>
    <w:sectPr w:rsidR="0011231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revisionView w:markup="0"/>
  <w:doNotTrackMoves/>
  <w:doNotTrackFormatting/>
  <w:defaultTabStop w:val="708"/>
  <w:noPunctuationKerning/>
  <w:characterSpacingControl w:val="doNotCompress"/>
  <w:compat>
    <w:doNotSnapToGridInCell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E3B4E"/>
    <w:rsid w:val="000E3B4E"/>
    <w:rsid w:val="00112313"/>
    <w:rsid w:val="00FD38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1"/>
    <o:shapelayout v:ext="edit">
      <o:idmap v:ext="edit" data="1"/>
    </o:shapelayout>
  </w:shapeDefaults>
  <w:decimalSymbol w:val=","/>
  <w:listSeparator w:val=";"/>
  <w15:chartTrackingRefBased/>
  <w15:docId w15:val="{6013C1BF-93E6-4663-9B54-08978554F1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  <w:ind w:firstLine="480"/>
      <w:jc w:val="both"/>
    </w:pPr>
  </w:style>
  <w:style w:type="character" w:customStyle="1" w:styleId="10">
    <w:name w:val="Заголовок 1 Знак"/>
    <w:link w:val="1"/>
    <w:uiPriority w:val="9"/>
    <w:rPr>
      <w:rFonts w:ascii="Calibri Light" w:eastAsia="Times New Roman" w:hAnsi="Calibri Light" w:cs="Times New Roman"/>
      <w:color w:val="2E74B5"/>
      <w:sz w:val="32"/>
      <w:szCs w:val="32"/>
    </w:rPr>
  </w:style>
  <w:style w:type="character" w:styleId="a4">
    <w:name w:val="Hyperlink"/>
    <w:uiPriority w:val="99"/>
    <w:semiHidden/>
    <w:unhideWhenUsed/>
    <w:rPr>
      <w:color w:val="0000FF"/>
      <w:u w:val="single"/>
    </w:rPr>
  </w:style>
  <w:style w:type="character" w:styleId="a5">
    <w:name w:val="FollowedHyperlink"/>
    <w:uiPriority w:val="99"/>
    <w:semiHidden/>
    <w:unhideWhenUsed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4187</Words>
  <Characters>23871</Characters>
  <Application>Microsoft Office Word</Application>
  <DocSecurity>0</DocSecurity>
  <Lines>198</Lines>
  <Paragraphs>56</Paragraphs>
  <ScaleCrop>false</ScaleCrop>
  <Company>diakov.net</Company>
  <LinksUpToDate>false</LinksUpToDate>
  <CharactersWithSpaces>28002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Доллар и евро: проблема выбора</dc:title>
  <dc:subject/>
  <dc:creator>Irina</dc:creator>
  <cp:keywords/>
  <dc:description/>
  <cp:lastModifiedBy>Irina</cp:lastModifiedBy>
  <cp:revision>2</cp:revision>
  <dcterms:created xsi:type="dcterms:W3CDTF">2014-07-19T03:33:00Z</dcterms:created>
  <dcterms:modified xsi:type="dcterms:W3CDTF">2014-07-19T03:33:00Z</dcterms:modified>
</cp:coreProperties>
</file>