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024F" w:rsidRDefault="00123A6E">
      <w:pPr>
        <w:pStyle w:val="1"/>
        <w:jc w:val="center"/>
      </w:pPr>
      <w:r>
        <w:t>Прибыль как источник инвестиций</w:t>
      </w:r>
    </w:p>
    <w:p w:rsidR="00A2024F" w:rsidRPr="00123A6E" w:rsidRDefault="00123A6E">
      <w:pPr>
        <w:pStyle w:val="a3"/>
      </w:pPr>
      <w:r>
        <w:t>Недостаток финансовых ресурсов предприятия пытаются восполнить за счет повышения цен на свою продукцию. Правительством принимаются меры, которые облегчат предприятиям формирование необходимых финансовых ресурсов для производственного развития, тем более что сегодня они являются одним из основных источников капиталовложений в экономику.</w:t>
      </w:r>
    </w:p>
    <w:p w:rsidR="00A2024F" w:rsidRDefault="00123A6E">
      <w:pPr>
        <w:pStyle w:val="a3"/>
      </w:pPr>
      <w:r>
        <w:t>Амортизационные отчисления.</w:t>
      </w:r>
    </w:p>
    <w:p w:rsidR="00A2024F" w:rsidRDefault="00123A6E">
      <w:pPr>
        <w:pStyle w:val="a3"/>
      </w:pPr>
      <w:r>
        <w:t>Амортизационные отчисления - это капитальная стоимость, отделившаяся от своего материального носителя (зданий, сооружений, оборудования, аппаратуры и т.д.) изначально являющуюся капиталом уже находящимся в кругообороте и обороте предприятия. Амортизационные отчисления направлены на восстановление средств производства, которые изнашиваются в процессе использования при производстве товаров. Однако в данный момент в России амортизационные отчисления теряются из-за инфляции (инфляция практически девальвировала этот источник капиталовложений), поэтому для самоинвестирования предприятия используют средства, необходимые для выплаты долгов по зарплате, налогов и прочего, что отражается на социальной сфере. Рост стоимости основных фондов предприятий и их амортизационных отчислений пропорционально темпам инфляции позволяет увеличить источники собственных средств для финансирования капиталовложений. Поэтому одной из важных мер по повышению внутренней инвестиционной активности могла бы стать антиинфляционная защита амортизационного фонда путем регулярной индексации балансовой стоимости основных средств. Чтобы восстановить инвестиционный характер амортизационного фонда необходимо провести реформу амортизационной политики и системы кругооборота и оборота амортизационного фонда: однозначно признать капитальный характер амортизационных отчислений; распространить на амортизационный фонд законодательство о собственности и гарантировать права собственников капитала на определение судьбы амортизационного фонда; усилить ответственность производства (менеджеров) предприятий за его сохранность и целевое использование; ввести налоговые и административные санкции против разбазаривания, проедания и вывоза амортизационного фонда за пределы российской национальной территории (пресечь вывоз капитала за счёт амортизационных отчислений). Эти меры помогут сохранению амортизационного фонда предприятия и, как следствие, помогут держаться производству на прежнем уровне</w:t>
      </w:r>
      <w:bookmarkStart w:id="0" w:name="_ftnref1"/>
      <w:r>
        <w:fldChar w:fldCharType="begin"/>
      </w:r>
      <w:r>
        <w:instrText xml:space="preserve"> HYPERLINK "" \l "_ftn1" \o "" </w:instrText>
      </w:r>
      <w:r>
        <w:fldChar w:fldCharType="separate"/>
      </w:r>
      <w:r>
        <w:rPr>
          <w:rStyle w:val="a4"/>
        </w:rPr>
        <w:t>[1]</w:t>
      </w:r>
      <w:r>
        <w:fldChar w:fldCharType="end"/>
      </w:r>
      <w:bookmarkEnd w:id="0"/>
      <w:r>
        <w:t>.</w:t>
      </w:r>
    </w:p>
    <w:p w:rsidR="00A2024F" w:rsidRDefault="00123A6E">
      <w:pPr>
        <w:pStyle w:val="a3"/>
      </w:pPr>
      <w:r>
        <w:t>Бюджетное финансирование</w:t>
      </w:r>
    </w:p>
    <w:p w:rsidR="00A2024F" w:rsidRDefault="00123A6E">
      <w:pPr>
        <w:pStyle w:val="a3"/>
      </w:pPr>
      <w:r>
        <w:t>При ограниченности бюджетных ресурсов как потенциального источника инвестиций государство будет вынуждено перейти от безвозвратного бюджетного финансирования к кредитованию. Уже сейчас ужесточился контроль за целевым использованием льготных кредитов.</w:t>
      </w:r>
    </w:p>
    <w:p w:rsidR="00A2024F" w:rsidRDefault="00123A6E">
      <w:pPr>
        <w:pStyle w:val="a3"/>
      </w:pPr>
      <w:r>
        <w:t>Для обеспечения гарантий возврата кредита внедряется система залога имущества в недвижимости, в частности земли. Государственные централизованные вложения обычно направляют на реализацию ограниченного числа региональных программ, создание особо эффективных структурообразующих объектов, поддержание федеральной инфраструктуры, преодоление последствий стихийных бедствий, чрезвычайных ситуаций, решение наиболее острых социальных и экономических проблем.</w:t>
      </w:r>
    </w:p>
    <w:p w:rsidR="00A2024F" w:rsidRDefault="00123A6E">
      <w:pPr>
        <w:pStyle w:val="a3"/>
      </w:pPr>
      <w:r>
        <w:t>Банковский кредит</w:t>
      </w:r>
    </w:p>
    <w:p w:rsidR="00A2024F" w:rsidRDefault="00123A6E">
      <w:pPr>
        <w:pStyle w:val="a3"/>
      </w:pPr>
      <w:r>
        <w:t>Долгосрочное кредитование, особенно в условиях зарождающегося предпринимательства, могло бы стать одним из важных источников инвестиций. Долгосрочные банковские кредиты в первую очередь направлены на решение стратегических целей в экономике. Они способствуют постепенному увеличению производства и, как следствие, общему подъему экономики страны.</w:t>
      </w:r>
    </w:p>
    <w:p w:rsidR="00A2024F" w:rsidRDefault="00123A6E">
      <w:pPr>
        <w:pStyle w:val="a3"/>
      </w:pPr>
      <w:r>
        <w:t>Средства населения.</w:t>
      </w:r>
    </w:p>
    <w:p w:rsidR="00A2024F" w:rsidRDefault="00123A6E">
      <w:pPr>
        <w:pStyle w:val="a3"/>
      </w:pPr>
      <w:r>
        <w:t>Привлечение средств населения в инвестиционную сферу путём продажи акций приватизированных предприятий и инвестиционных фондов, в частности, могло бы рассматриваться не только как источник капиталовложений, но и как один из путей защиты личных сбережений граждан от инфляции. Стимулировать инвестиционную активность населения можно путем установления в инвестиционных банках более высоких по сравнению с другими банковскими учреждениями процентных ставок по личным вкладам, привлечение средств населения на жилищное строительство, предоставление гражданам, участвующим в инвестировании предприятия, первоочередного права на приобретение его продукции по заводской цене и т.п. Для притока сбережений населения на рынок капитала необходима широкая сеть посреднических финансовых организаций - инвестиционных банков и фондов, страховых компаний, пенсионных фондов, строительных обществ и др. Однако важно по возможности обеспечить защиту тем, кто готов вкладывать свои деньги в фондовые ценности, установив строгий государственный контроль за предприятиями, претендующими на привлечение средств населения.</w:t>
      </w:r>
    </w:p>
    <w:p w:rsidR="00A2024F" w:rsidRDefault="00123A6E">
      <w:pPr>
        <w:pStyle w:val="a3"/>
      </w:pPr>
      <w:r>
        <w:t>Список литературы</w:t>
      </w:r>
    </w:p>
    <w:p w:rsidR="00A2024F" w:rsidRDefault="00123A6E">
      <w:pPr>
        <w:pStyle w:val="a3"/>
      </w:pPr>
      <w:r>
        <w:t>При написании работы были использованы материалы ресурса http://www.helpeducation.ru/</w:t>
      </w:r>
    </w:p>
    <w:p w:rsidR="00A2024F" w:rsidRDefault="00123A6E">
      <w:pPr>
        <w:pStyle w:val="a3"/>
      </w:pPr>
      <w:r>
        <w:t>Работа предоставлена пользователем Student..</w:t>
      </w:r>
    </w:p>
    <w:p w:rsidR="00A2024F" w:rsidRDefault="00123A6E">
      <w:pPr>
        <w:pStyle w:val="a3"/>
      </w:pPr>
      <w:r>
        <w:t> </w:t>
      </w:r>
    </w:p>
    <w:p w:rsidR="00A2024F" w:rsidRDefault="00123A6E">
      <w:pPr>
        <w:pStyle w:val="a3"/>
      </w:pPr>
      <w:r>
        <w:t> </w:t>
      </w:r>
      <w:bookmarkStart w:id="1" w:name="_GoBack"/>
      <w:bookmarkEnd w:id="1"/>
    </w:p>
    <w:sectPr w:rsidR="00A2024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A6E"/>
    <w:rsid w:val="00123A6E"/>
    <w:rsid w:val="002E0C47"/>
    <w:rsid w:val="00A202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ACBBB2C-9C7C-4775-9A7F-21328987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 w:type="character" w:styleId="a4">
    <w:name w:val="Hyperlink"/>
    <w:uiPriority w:val="99"/>
    <w:semiHidden/>
    <w:unhideWhenUsed/>
    <w:rPr>
      <w:color w:val="0000FF"/>
      <w:u w:val="single"/>
    </w:rPr>
  </w:style>
  <w:style w:type="character" w:styleId="a5">
    <w:name w:val="FollowedHyperlink"/>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712</Words>
  <Characters>4064</Characters>
  <Application>Microsoft Office Word</Application>
  <DocSecurity>0</DocSecurity>
  <Lines>33</Lines>
  <Paragraphs>9</Paragraphs>
  <ScaleCrop>false</ScaleCrop>
  <Company>diakov.net</Company>
  <LinksUpToDate>false</LinksUpToDate>
  <CharactersWithSpaces>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Прибыль как источник инвестиций</dc:title>
  <dc:subject/>
  <dc:creator>Irina</dc:creator>
  <cp:keywords/>
  <dc:description/>
  <cp:lastModifiedBy>Irina</cp:lastModifiedBy>
  <cp:revision>2</cp:revision>
  <dcterms:created xsi:type="dcterms:W3CDTF">2014-07-19T03:33:00Z</dcterms:created>
  <dcterms:modified xsi:type="dcterms:W3CDTF">2014-07-19T03:33:00Z</dcterms:modified>
</cp:coreProperties>
</file>