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BD5" w:rsidRDefault="00B67C87">
      <w:pPr>
        <w:pStyle w:val="1"/>
        <w:jc w:val="center"/>
      </w:pPr>
      <w:r>
        <w:t>Налогообложение операций с памятными и инвестиционными монетами</w:t>
      </w:r>
    </w:p>
    <w:p w:rsidR="00050BD5" w:rsidRPr="00B67C87" w:rsidRDefault="00B67C87">
      <w:pPr>
        <w:pStyle w:val="a3"/>
      </w:pPr>
      <w:r>
        <w:t>Монеты и НДС</w:t>
      </w:r>
    </w:p>
    <w:p w:rsidR="00050BD5" w:rsidRDefault="00B67C87">
      <w:pPr>
        <w:pStyle w:val="a3"/>
      </w:pPr>
      <w:r>
        <w:t>Для целей обложения операций с памятными и инвестиционными монетами НДС имеет значение, является ли монета законным средством наличного платежа Российской Федерации или иностранного государства (пп.11, п.2 ст.149 Налогового Кодекса РФ).</w:t>
      </w:r>
    </w:p>
    <w:p w:rsidR="00050BD5" w:rsidRDefault="00B67C87">
      <w:pPr>
        <w:pStyle w:val="a3"/>
      </w:pPr>
      <w:r>
        <w:t>Практически единственным документом определяющим статус памятных и инвестиционных монет в РФ, является Указание Банка России № 1614-У от 19.09.2005 "О порядке выдачи Банком России памятных и инвестиционных монет кредитным организациям-резидентам и организации, изготавливающей банкноты и монету Банка России". В соответствии с данным документом, памятные и коллекционные монеты могут обращаться как в качестве предметов коллекционирования и инвестирования по ценам, отличающимся от их номинальной стоимости так и в качестве средств наличного платежа по их номинальной стоимости. Таким образом, являясь законным средством платежа монеты (их реализация) освобождаются от обложения налогом на добавленную стоимость (НДС) в соответствии с пп.11 п.2 ст. 149 Налогового Кодекса РФ. Следует, учитывать, что как только монета выходит из обращения, операции с ней попадают под обложение НДС. Сумма НДС в данном случае включается банком в стоимость монеты, увеличивая ее цену приобретения.</w:t>
      </w:r>
    </w:p>
    <w:p w:rsidR="00050BD5" w:rsidRDefault="00B67C87">
      <w:pPr>
        <w:pStyle w:val="a3"/>
      </w:pPr>
      <w:r>
        <w:t>Вопросы выпуска в обращение и изъятия из обращения памятных и инвестиционных монет находятся в компетенции Банка России в отношении монет РФ и компетенции иностранных центральных банков в отношении иностранных монет.</w:t>
      </w:r>
    </w:p>
    <w:p w:rsidR="00050BD5" w:rsidRDefault="00B67C87">
      <w:pPr>
        <w:pStyle w:val="a3"/>
      </w:pPr>
      <w:r>
        <w:t>Монеты и НДФЛ</w:t>
      </w:r>
    </w:p>
    <w:p w:rsidR="00050BD5" w:rsidRDefault="00B67C87">
      <w:pPr>
        <w:pStyle w:val="a3"/>
      </w:pPr>
      <w:r>
        <w:t>В целях налогообложения НДФЛ имеющиеся у физического лица монеты из драгоценных металлов рассматриваются как принадлежащее ему имущество. Вопрос о НДФЛ возникает в момент, когда гражданин реализует принадлежащие ему на праве собственности монеты.</w:t>
      </w:r>
    </w:p>
    <w:p w:rsidR="00050BD5" w:rsidRDefault="00B67C87">
      <w:pPr>
        <w:pStyle w:val="a3"/>
      </w:pPr>
      <w:r>
        <w:t>Определения налоговой базы НДФЛ определяется п.17.1 ст. 217 Налогового Кодекса РФ и пп.1 п.1 ст. 220 Налогового Кодекса РФ. (Разъяснения Минфина РФ № 03-04-05/6-616 от 30.08.2011)</w:t>
      </w:r>
    </w:p>
    <w:p w:rsidR="00050BD5" w:rsidRDefault="00B67C87">
      <w:pPr>
        <w:pStyle w:val="a3"/>
      </w:pPr>
      <w:r>
        <w:t>В том случае, если физическое лицо-продавец монет может документально подтвердить, что монеты находились у него в собственности 3 года и более, вырученная от продажи монет сумма не подлежит обложению НДФЛ в полном объеме.</w:t>
      </w:r>
    </w:p>
    <w:p w:rsidR="00050BD5" w:rsidRDefault="00B67C87">
      <w:pPr>
        <w:pStyle w:val="a3"/>
      </w:pPr>
      <w:r>
        <w:t>В том случае, если в соответствии с подтверждающим документом, монеты находились в собственности продавца-физического лица менее 3 лет, то возможны два варианта:</w:t>
      </w:r>
    </w:p>
    <w:p w:rsidR="00050BD5" w:rsidRDefault="00B67C87">
      <w:pPr>
        <w:pStyle w:val="a3"/>
      </w:pPr>
      <w:r>
        <w:t>• обложению НДФЛ подлежит сумма, вырученная от продажи таких монет, превышающая 250000 рублей (имущественный вычет).</w:t>
      </w:r>
    </w:p>
    <w:p w:rsidR="00050BD5" w:rsidRDefault="00B67C87">
      <w:pPr>
        <w:pStyle w:val="a3"/>
      </w:pPr>
      <w:r>
        <w:t>• вместо имущественного вычета (250000 рублей) налоговое законодательство позволяет обложить налогом положительную разницу между суммой, вырученной от реализации монет и суммой покупки данных монет, подтвержденной документально.</w:t>
      </w:r>
    </w:p>
    <w:p w:rsidR="00050BD5" w:rsidRDefault="00B67C87">
      <w:pPr>
        <w:pStyle w:val="a3"/>
      </w:pPr>
      <w:r>
        <w:t>В том случае, если у физического лица отсутствует документ, подтверждающий дату и сумму приобретения монет, то обложению НДФЛ подлежит вся сумма, вырученная от реализации монет. При этом также предоставляется имущественный вычет в сумме 250000 рублей (т.е. обложению НДФЛ подлежит сумма, полученная от реализации, превышающая 250000 рублей).</w:t>
      </w:r>
    </w:p>
    <w:p w:rsidR="00050BD5" w:rsidRDefault="00B67C87">
      <w:pPr>
        <w:pStyle w:val="a3"/>
      </w:pPr>
      <w:r>
        <w:t>Подтверждающим документом, является квитанция, полученная в банке при покупке памятных и/или инвестиционных монет либо иной другой документ, на основании которого осуществлялась покупка.</w:t>
      </w:r>
    </w:p>
    <w:p w:rsidR="00050BD5" w:rsidRDefault="00B67C87">
      <w:pPr>
        <w:pStyle w:val="a3"/>
      </w:pPr>
      <w:r>
        <w:t>Налогообложение производится по ставке НДФЛ 13%. По окончании налогового периода необходимо подать налоговую декларацию в налоговый орган по месту учета гражданина-продавца монет, вне зависимости от суммы полученного от реализации монет дохода. Только в этом случае может быть предоставлен вышеуказанный имущественный вычет. Уплата налога производится налогоплательщиком-гражданином самостоятельно на основании сданной налоговой декларации.</w:t>
      </w:r>
      <w:bookmarkStart w:id="0" w:name="_GoBack"/>
      <w:bookmarkEnd w:id="0"/>
    </w:p>
    <w:sectPr w:rsidR="00050B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7C87"/>
    <w:rsid w:val="00050BD5"/>
    <w:rsid w:val="007C37AA"/>
    <w:rsid w:val="00B6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D410DF-DDC9-46B4-A5CB-63C3F790C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545</Words>
  <Characters>3107</Characters>
  <Application>Microsoft Office Word</Application>
  <DocSecurity>0</DocSecurity>
  <Lines>25</Lines>
  <Paragraphs>7</Paragraphs>
  <ScaleCrop>false</ScaleCrop>
  <Company>diakov.net</Company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Налогообложение операций с памятными и инвестиционными монетами</dc:title>
  <dc:subject/>
  <dc:creator>Irina</dc:creator>
  <cp:keywords/>
  <dc:description/>
  <cp:lastModifiedBy>Irina</cp:lastModifiedBy>
  <cp:revision>2</cp:revision>
  <dcterms:created xsi:type="dcterms:W3CDTF">2014-07-19T03:29:00Z</dcterms:created>
  <dcterms:modified xsi:type="dcterms:W3CDTF">2014-07-19T03:29:00Z</dcterms:modified>
</cp:coreProperties>
</file>