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15B" w:rsidRDefault="00046004">
      <w:pPr>
        <w:pStyle w:val="1"/>
        <w:jc w:val="center"/>
      </w:pPr>
      <w:r>
        <w:t>Пенсионное страхование</w:t>
      </w:r>
    </w:p>
    <w:p w:rsidR="00DA115B" w:rsidRPr="00046004" w:rsidRDefault="00046004">
      <w:pPr>
        <w:pStyle w:val="a3"/>
      </w:pPr>
      <w:r>
        <w:t>является разновидностью долгосрочного страхования жизни, при котором страхователь единовременно или в рассрочку уплачивает пенсионный взнос, а страховщик принимает на себя обязательство выплачивать застрахованному лицу пенсию, пенсионную ренту или аннуитет.</w:t>
      </w:r>
    </w:p>
    <w:p w:rsidR="00DA115B" w:rsidRDefault="00046004">
      <w:pPr>
        <w:pStyle w:val="a3"/>
      </w:pPr>
      <w:r>
        <w:t>Рента (аннуитет) представляет собой серию регулярных выплат через определенные промежутки времени. В отношении пенсионного страхования рентные платежи выполняют роль дополнительной пенсии.</w:t>
      </w:r>
    </w:p>
    <w:p w:rsidR="00DA115B" w:rsidRDefault="00046004">
      <w:pPr>
        <w:pStyle w:val="a3"/>
      </w:pPr>
      <w:r>
        <w:t>Пенсия — это гарантированная ежемесячная денежная выплата для обеспечения граждан в старости, в случае полной или частичной нетрудоспособности, потери кормильца, а также в связи с достижением установленного стажа работы.</w:t>
      </w:r>
    </w:p>
    <w:p w:rsidR="00DA115B" w:rsidRDefault="00046004">
      <w:pPr>
        <w:pStyle w:val="a3"/>
      </w:pPr>
      <w:r>
        <w:t>Обязательное (государственное) пенсионное обеспечение осуществляется на основании условий и норм, установленных законом Российской Федерации "О государственных пенсиях в Российской Федерации", а также других нормативных актов.</w:t>
      </w:r>
    </w:p>
    <w:p w:rsidR="00DA115B" w:rsidRDefault="00046004">
      <w:pPr>
        <w:pStyle w:val="a3"/>
      </w:pPr>
      <w:r>
        <w:t>Обязательное пенсионное обеспечение распространяется на всех граждан. Право на пенсионное обеспечение имеют не только граждане России, но и проживающие на территории Российской Федерации граждане других бывших союзных республик, а также иностранные граждане и лица без гражданства. Размеры получаемых средств при этом зависят от величины трудового стажа, заработной платы, степени утраты трудоспособности и регулируются законодательством.</w:t>
      </w:r>
    </w:p>
    <w:p w:rsidR="00DA115B" w:rsidRDefault="00046004">
      <w:pPr>
        <w:pStyle w:val="a3"/>
      </w:pPr>
      <w:r>
        <w:t>Основания и условия государственного пенсионного обеспечения различны. Основным критерием дифференциации условий и норм пенсионного обеспечения является, как правило, трудовая и общественно полезная деятельность лица в прошлом. В зависимости от оснований и условий предоставления пенсии различают пять видов пенсий:</w:t>
      </w:r>
    </w:p>
    <w:p w:rsidR="00DA115B" w:rsidRDefault="00046004">
      <w:pPr>
        <w:pStyle w:val="a3"/>
      </w:pPr>
      <w:r>
        <w:t>пенсии по старости;</w:t>
      </w:r>
    </w:p>
    <w:p w:rsidR="00DA115B" w:rsidRDefault="00046004">
      <w:pPr>
        <w:pStyle w:val="a3"/>
      </w:pPr>
      <w:r>
        <w:t>пенсии по инвалидности;</w:t>
      </w:r>
    </w:p>
    <w:p w:rsidR="00DA115B" w:rsidRDefault="00046004">
      <w:pPr>
        <w:pStyle w:val="a3"/>
      </w:pPr>
      <w:r>
        <w:t>пенсии по случаю потери кормильца;</w:t>
      </w:r>
    </w:p>
    <w:p w:rsidR="00DA115B" w:rsidRDefault="00046004">
      <w:pPr>
        <w:pStyle w:val="a3"/>
      </w:pPr>
      <w:r>
        <w:t>пенсии за выслугу лет;</w:t>
      </w:r>
    </w:p>
    <w:p w:rsidR="00DA115B" w:rsidRDefault="00046004">
      <w:pPr>
        <w:pStyle w:val="a3"/>
      </w:pPr>
      <w:r>
        <w:t>социальные пенсии.</w:t>
      </w:r>
    </w:p>
    <w:p w:rsidR="00DA115B" w:rsidRDefault="00046004">
      <w:pPr>
        <w:pStyle w:val="a3"/>
      </w:pPr>
      <w:r>
        <w:t>Государственное пенсионное страхование — ведущий элемент системы, по которому выплата пенсий обеспечивается в зависимости от страхового (трудового) стажа и уплаченных взносов в бюджет государственного пенсионного страхования, финансирование которых осуществляется как за счет текущих поступлений в Пенсионный фонд РФ, так и за счет средств, полученных от направления части обязательных страховых взносов на накопление, и инвестиционного дохода от их размещения.</w:t>
      </w:r>
    </w:p>
    <w:p w:rsidR="00DA115B" w:rsidRDefault="00046004">
      <w:pPr>
        <w:pStyle w:val="a3"/>
      </w:pPr>
      <w:r>
        <w:t>Добровольное (негосударственное) пенсионное страхование предназначено для расширения возможностей обязательного как по размерам пенсий, так и по условиям их получения. Так, например, пенсия по договору добровольного пенсионного страхования выплачивается дополнительно к государственной трудовой пенсии. Взносы могут быть регулярными в течение длительного срока или единовременными. Размер пенсии зависит от четырех основных обязательств:</w:t>
      </w:r>
    </w:p>
    <w:p w:rsidR="00DA115B" w:rsidRDefault="00046004">
      <w:pPr>
        <w:pStyle w:val="a3"/>
      </w:pPr>
      <w:r>
        <w:t>размера внесенных страховых взносов;</w:t>
      </w:r>
    </w:p>
    <w:p w:rsidR="00DA115B" w:rsidRDefault="00046004">
      <w:pPr>
        <w:pStyle w:val="a3"/>
      </w:pPr>
      <w:r>
        <w:t>количества лет, прошедших с момента заключения договора страхования до начала пенсионных выплат (чем больше период накопления, тем больше накопленная сумма и выше размер полученной пенсии);</w:t>
      </w:r>
    </w:p>
    <w:p w:rsidR="00DA115B" w:rsidRDefault="00046004">
      <w:pPr>
        <w:pStyle w:val="a3"/>
      </w:pPr>
      <w:r>
        <w:t>возраста застрахованного лица (чем старше, тем меньше период накопления и больше страховой взнос, который должен быть уплачен);</w:t>
      </w:r>
    </w:p>
    <w:p w:rsidR="00DA115B" w:rsidRDefault="00046004">
      <w:pPr>
        <w:pStyle w:val="a3"/>
      </w:pPr>
      <w:r>
        <w:t>пола застрахованного лица (обычно размер страхового взноса для женщин в 1, 5 раза выше, чем для мужчин).</w:t>
      </w:r>
    </w:p>
    <w:p w:rsidR="00DA115B" w:rsidRDefault="00046004">
      <w:pPr>
        <w:pStyle w:val="a3"/>
      </w:pPr>
      <w:r>
        <w:t>Под негосударственной пенсией понимаются денежные средства, регулярно выплачиваемые участнику в соответствии с условиями пенсионного договора. Следовательно, в отличие от государственной пенсии, право на которую возникает на основании закона, одним из основных признаков негосударственной пенсии является обязательное наличие договорных отношений между субъектами пенсионных правоотношений.</w:t>
      </w:r>
    </w:p>
    <w:p w:rsidR="00DA115B" w:rsidRDefault="00046004">
      <w:pPr>
        <w:pStyle w:val="a3"/>
      </w:pPr>
      <w:r>
        <w:t>Как известно, до начала 2002 г. пенсионная система России была полностью распределительной (принцип «солидарности поколений»), т. е. финансирование текущих пенсий осуществлялось исключительно за счет средств, собираемых с работодателей в виде налогов на фонд оплаты труда. Основной принцип — собранные пенсионные взносы не инвестируются, а тратятся сразу.</w:t>
      </w:r>
    </w:p>
    <w:p w:rsidR="00DA115B" w:rsidRDefault="00046004">
      <w:pPr>
        <w:pStyle w:val="a3"/>
      </w:pPr>
      <w:r>
        <w:t>Главные изменения в ходе реформы, начавшейся 1 января 2002 г. — введение накопительного элемента в систему обязательного пенсионного обеспечения и допуск частных финансовых институтов к управлению (инвестированию) пенсионных накоплений.</w:t>
      </w:r>
    </w:p>
    <w:p w:rsidR="00DA115B" w:rsidRDefault="00046004">
      <w:pPr>
        <w:pStyle w:val="a3"/>
      </w:pPr>
      <w:r>
        <w:t>Согласно действующему законодательству, трудовая пенсия делится на базовую, страховую и накопительную часть.</w:t>
      </w:r>
    </w:p>
    <w:p w:rsidR="00DA115B" w:rsidRDefault="00046004">
      <w:pPr>
        <w:pStyle w:val="a3"/>
      </w:pPr>
      <w:r>
        <w:t>Базовая часть — одинакова для большинства пенсионеров и не зависит от заработка, который получал пенсионер в прошлом. Она индексируется с учетом инфляции. С 1 августа 2003 г. ее размер для большинства пенсионеров равен 597 руб.</w:t>
      </w:r>
    </w:p>
    <w:p w:rsidR="00DA115B" w:rsidRDefault="00046004">
      <w:pPr>
        <w:pStyle w:val="a3"/>
      </w:pPr>
      <w:r>
        <w:t>Страховая часть привязана к сумме полученных за данного гражданина пенсионных взносов, учтенных на так называемом «условно-накопительном счете», и также подлежит индексации с учетом инфляции, зарплаты и «индекса роста доходов ПФР в расчете на одного пенсионера».</w:t>
      </w:r>
    </w:p>
    <w:p w:rsidR="00DA115B" w:rsidRDefault="00046004">
      <w:pPr>
        <w:pStyle w:val="a3"/>
      </w:pPr>
      <w:r>
        <w:t>Поскольку и базовая, и страховая часть являются элементами распределительной системы, они не предполагают инвестирования собранных пенсионных взносов, а финансируются за счет распределения текущих поступлений. Средний размер трудовой пенсии составил по итогам 2002 г. 1379 руб., средний коэффициент замещения 31, 2%.</w:t>
      </w:r>
    </w:p>
    <w:p w:rsidR="00DA115B" w:rsidRDefault="00046004">
      <w:pPr>
        <w:pStyle w:val="a3"/>
      </w:pPr>
      <w:r>
        <w:t>Накопительная часть представляет собой главную составляющую пенсионной реформы. Определенный процент пенсионных взносов, различающийся в зависимости от возраста работника и его заработка, накапливается в ПФР и учитывается в так называемой «специальной части индивидуального лицевого счета застрахованного лица».</w:t>
      </w:r>
    </w:p>
    <w:p w:rsidR="00DA115B" w:rsidRDefault="00046004">
      <w:pPr>
        <w:pStyle w:val="a3"/>
      </w:pPr>
      <w:r>
        <w:t>При этом разные возрастные группы в разной степени вовлечены в накопительную схему. «Старшие возраста» (мужчины 1952 г. р. и старше, женщины 1956 г. р. и старше) не участвуют в этой системе. «Средние возраста» (мужчины 1953-1966 гг. рождения включительно, женщины 1957-1966 гг. рождения включительно) задействованы частично. Так, до конца 2004 г. их взносы на финансирование накопительной части не превышали 2%, а с 1 января 2005 г. эта категория и вовсе исключается из реформы. «Младшие возраста» (1967 г. р. и моложе) вносят на протяжении переходного периода: с 2004 по 2007г. взносы, равные 4%.</w:t>
      </w:r>
    </w:p>
    <w:p w:rsidR="00DA115B" w:rsidRDefault="00046004">
      <w:pPr>
        <w:pStyle w:val="a3"/>
      </w:pPr>
      <w:r>
        <w:t>Регрессивный характер ЕСН, из которого производится вычленение пенсионных взносов, накладывает отпечаток на финансирование накопительной части: в случае превышения определенного размера заработка отчисления в накопительную часть прекращаются.</w:t>
      </w:r>
    </w:p>
    <w:p w:rsidR="00DA115B" w:rsidRDefault="00046004">
      <w:pPr>
        <w:pStyle w:val="a3"/>
      </w:pPr>
      <w:r>
        <w:t>Интересным моментом реализации пенсионной реформы является то, что гражданам предоставляется право выбора инвестиционного управляющего в отношении инвестирования своей обязательной накопительной части пенсии:</w:t>
      </w:r>
    </w:p>
    <w:p w:rsidR="00DA115B" w:rsidRDefault="00046004">
      <w:pPr>
        <w:pStyle w:val="a3"/>
      </w:pPr>
      <w:r>
        <w:t>Пенсионный фонд РФ (через ВЭБ);</w:t>
      </w:r>
    </w:p>
    <w:p w:rsidR="00DA115B" w:rsidRDefault="00046004">
      <w:pPr>
        <w:pStyle w:val="a3"/>
      </w:pPr>
      <w:r>
        <w:t>частная управляющая компания (их сейчас 55, заключивших соглашение с ПФР);</w:t>
      </w:r>
    </w:p>
    <w:p w:rsidR="00DA115B" w:rsidRDefault="00046004">
      <w:pPr>
        <w:pStyle w:val="a3"/>
      </w:pPr>
      <w:r>
        <w:t>негосударственные пенсионные фонды (с 2004 г.).</w:t>
      </w:r>
    </w:p>
    <w:p w:rsidR="00DA115B" w:rsidRDefault="00046004">
      <w:pPr>
        <w:pStyle w:val="a3"/>
      </w:pPr>
      <w:r>
        <w:t>До конца 2004 г. тариф пенсионных отчислений составлял 28% фонда оплаты труда (ФОТ), причем он распределялся поровну: 14% — на финансирование базовой пенсии и 14% — закреплялся в виде финансовых обязательств пенсионной системы за конкретным человеком (приложение 5).</w:t>
      </w:r>
    </w:p>
    <w:p w:rsidR="00DA115B" w:rsidRDefault="00046004">
      <w:pPr>
        <w:pStyle w:val="a3"/>
      </w:pPr>
      <w:r>
        <w:t>Однако уже с 2005 г. из-за снижения ставки единого социального налога до 26% (на каждое физическое лицо нарастающим итогом) вместо 35, 6 % от ФОТ, уплачиваемых ранее, произошла трансформация и ставки взноса, предназначенной для формирования базовой части пенсии.</w:t>
      </w:r>
    </w:p>
    <w:p w:rsidR="00DA115B" w:rsidRDefault="00046004">
      <w:pPr>
        <w:pStyle w:val="a3"/>
      </w:pPr>
      <w:r>
        <w:t>При налоговой базе до 280 000 руб. структура взносов распределяется следующим образом: 20% идет в федеральный бюджет, 3, 2% — в фонд социального страхования, а 0, 8 и 2% — в федеральный и территориальный фонды обязательного медицинского страхования соответственно. Из тех 20%, которые перечисляются в бюджет, можно выделить следующие денежные потоки: 14% идет на формирование страховой и накопительной частей пенсии, а 6% — на формирование базовой части пенсии.</w:t>
      </w:r>
    </w:p>
    <w:p w:rsidR="00DA115B" w:rsidRDefault="00046004">
      <w:pPr>
        <w:pStyle w:val="a3"/>
      </w:pPr>
      <w:r>
        <w:t>Таблица 1 Тарифы страховых взносов на финансирование обязательного пенсионного страхования с 1.01.2005 г.</w:t>
      </w:r>
    </w:p>
    <w:p w:rsidR="00DA115B" w:rsidRDefault="00046004">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240"/>
        <w:gridCol w:w="240"/>
      </w:tblGrid>
      <w:tr w:rsidR="00DA115B">
        <w:trPr>
          <w:tblCellSpacing w:w="0" w:type="dxa"/>
        </w:trPr>
        <w:tc>
          <w:tcPr>
            <w:tcW w:w="0" w:type="auto"/>
            <w:vMerge w:val="restart"/>
            <w:vAlign w:val="center"/>
            <w:hideMark/>
          </w:tcPr>
          <w:p w:rsidR="00DA115B" w:rsidRDefault="00046004">
            <w:r>
              <w:t>База для начисления страховых взносов на каждое физическое лицо нарастающим итогом</w:t>
            </w:r>
          </w:p>
        </w:tc>
        <w:tc>
          <w:tcPr>
            <w:tcW w:w="0" w:type="auto"/>
            <w:vAlign w:val="center"/>
            <w:hideMark/>
          </w:tcPr>
          <w:p w:rsidR="00DA115B" w:rsidRDefault="00046004">
            <w:r>
              <w:t>Для лиц 1966 г. р. и старше</w:t>
            </w:r>
          </w:p>
        </w:tc>
        <w:tc>
          <w:tcPr>
            <w:tcW w:w="0" w:type="auto"/>
            <w:gridSpan w:val="2"/>
            <w:vAlign w:val="center"/>
            <w:hideMark/>
          </w:tcPr>
          <w:p w:rsidR="00DA115B" w:rsidRDefault="00046004">
            <w:r>
              <w:t>Для лиц 1967 г. р. и моложе</w:t>
            </w:r>
          </w:p>
        </w:tc>
      </w:tr>
      <w:tr w:rsidR="00DA115B">
        <w:trPr>
          <w:tblCellSpacing w:w="0" w:type="dxa"/>
        </w:trPr>
        <w:tc>
          <w:tcPr>
            <w:tcW w:w="0" w:type="auto"/>
            <w:vMerge/>
            <w:vAlign w:val="center"/>
            <w:hideMark/>
          </w:tcPr>
          <w:p w:rsidR="00DA115B" w:rsidRDefault="00DA115B"/>
        </w:tc>
        <w:tc>
          <w:tcPr>
            <w:tcW w:w="0" w:type="auto"/>
            <w:vAlign w:val="center"/>
            <w:hideMark/>
          </w:tcPr>
          <w:p w:rsidR="00DA115B" w:rsidRDefault="00046004">
            <w:r>
              <w:t>На финансирование страховой части трудовой пенсии</w:t>
            </w:r>
          </w:p>
        </w:tc>
        <w:tc>
          <w:tcPr>
            <w:tcW w:w="0" w:type="auto"/>
            <w:vAlign w:val="center"/>
            <w:hideMark/>
          </w:tcPr>
          <w:p w:rsidR="00DA115B" w:rsidRDefault="00046004">
            <w:r>
              <w:t>На финансирование страховой части трудовой пенсии</w:t>
            </w:r>
          </w:p>
        </w:tc>
        <w:tc>
          <w:tcPr>
            <w:tcW w:w="0" w:type="auto"/>
            <w:vAlign w:val="center"/>
            <w:hideMark/>
          </w:tcPr>
          <w:p w:rsidR="00DA115B" w:rsidRDefault="00046004">
            <w:r>
              <w:t>На финансирование накопительной части трудовой пенсии</w:t>
            </w:r>
          </w:p>
        </w:tc>
      </w:tr>
      <w:tr w:rsidR="00DA115B">
        <w:trPr>
          <w:tblCellSpacing w:w="0" w:type="dxa"/>
        </w:trPr>
        <w:tc>
          <w:tcPr>
            <w:tcW w:w="0" w:type="auto"/>
            <w:vAlign w:val="center"/>
            <w:hideMark/>
          </w:tcPr>
          <w:p w:rsidR="00DA115B" w:rsidRDefault="00046004">
            <w:r>
              <w:t>До 280 000 руб.</w:t>
            </w:r>
          </w:p>
        </w:tc>
        <w:tc>
          <w:tcPr>
            <w:tcW w:w="0" w:type="auto"/>
            <w:vAlign w:val="center"/>
            <w:hideMark/>
          </w:tcPr>
          <w:p w:rsidR="00DA115B" w:rsidRDefault="00046004">
            <w:r>
              <w:t>14%</w:t>
            </w:r>
          </w:p>
        </w:tc>
        <w:tc>
          <w:tcPr>
            <w:tcW w:w="0" w:type="auto"/>
            <w:vAlign w:val="center"/>
            <w:hideMark/>
          </w:tcPr>
          <w:p w:rsidR="00DA115B" w:rsidRDefault="00046004">
            <w:r>
              <w:t>8%</w:t>
            </w:r>
          </w:p>
        </w:tc>
        <w:tc>
          <w:tcPr>
            <w:tcW w:w="0" w:type="auto"/>
            <w:vAlign w:val="center"/>
            <w:hideMark/>
          </w:tcPr>
          <w:p w:rsidR="00DA115B" w:rsidRDefault="00046004">
            <w:r>
              <w:t>6%</w:t>
            </w:r>
          </w:p>
        </w:tc>
      </w:tr>
      <w:tr w:rsidR="00DA115B">
        <w:trPr>
          <w:tblCellSpacing w:w="0" w:type="dxa"/>
        </w:trPr>
        <w:tc>
          <w:tcPr>
            <w:tcW w:w="0" w:type="auto"/>
            <w:vAlign w:val="center"/>
            <w:hideMark/>
          </w:tcPr>
          <w:p w:rsidR="00DA115B" w:rsidRDefault="00046004">
            <w:r>
              <w:t>От 280 001 руб. до 600 000 руб.</w:t>
            </w:r>
          </w:p>
        </w:tc>
        <w:tc>
          <w:tcPr>
            <w:tcW w:w="0" w:type="auto"/>
            <w:vAlign w:val="center"/>
            <w:hideMark/>
          </w:tcPr>
          <w:p w:rsidR="00DA115B" w:rsidRDefault="00046004">
            <w:r>
              <w:t>39 200 руб. + 5, 5% с суммы выше 280 000 руб.</w:t>
            </w:r>
          </w:p>
        </w:tc>
        <w:tc>
          <w:tcPr>
            <w:tcW w:w="0" w:type="auto"/>
            <w:vAlign w:val="center"/>
            <w:hideMark/>
          </w:tcPr>
          <w:p w:rsidR="00DA115B" w:rsidRDefault="00046004">
            <w:r>
              <w:t>22 400 руб. + 3, 1% с суммы выше 280 000 руб.</w:t>
            </w:r>
          </w:p>
        </w:tc>
        <w:tc>
          <w:tcPr>
            <w:tcW w:w="0" w:type="auto"/>
            <w:vAlign w:val="center"/>
            <w:hideMark/>
          </w:tcPr>
          <w:p w:rsidR="00DA115B" w:rsidRDefault="00046004">
            <w:r>
              <w:t>16 800 руб. + 2, 4% с суммы выше 280 000 руб.</w:t>
            </w:r>
          </w:p>
        </w:tc>
      </w:tr>
      <w:tr w:rsidR="00DA115B">
        <w:trPr>
          <w:tblCellSpacing w:w="0" w:type="dxa"/>
        </w:trPr>
        <w:tc>
          <w:tcPr>
            <w:tcW w:w="0" w:type="auto"/>
            <w:vAlign w:val="center"/>
            <w:hideMark/>
          </w:tcPr>
          <w:p w:rsidR="00DA115B" w:rsidRDefault="00046004">
            <w:r>
              <w:t>Свыше 600 000 руб.</w:t>
            </w:r>
          </w:p>
        </w:tc>
        <w:tc>
          <w:tcPr>
            <w:tcW w:w="0" w:type="auto"/>
            <w:vAlign w:val="center"/>
            <w:hideMark/>
          </w:tcPr>
          <w:p w:rsidR="00DA115B" w:rsidRDefault="00046004">
            <w:r>
              <w:t>56 800 руб.</w:t>
            </w:r>
          </w:p>
        </w:tc>
        <w:tc>
          <w:tcPr>
            <w:tcW w:w="0" w:type="auto"/>
            <w:vAlign w:val="center"/>
            <w:hideMark/>
          </w:tcPr>
          <w:p w:rsidR="00DA115B" w:rsidRDefault="00046004">
            <w:r>
              <w:t>32 320 руб.</w:t>
            </w:r>
          </w:p>
        </w:tc>
        <w:tc>
          <w:tcPr>
            <w:tcW w:w="0" w:type="auto"/>
            <w:vAlign w:val="center"/>
            <w:hideMark/>
          </w:tcPr>
          <w:p w:rsidR="00DA115B" w:rsidRDefault="00046004">
            <w:r>
              <w:t>24 480 руб.</w:t>
            </w:r>
          </w:p>
        </w:tc>
      </w:tr>
    </w:tbl>
    <w:p w:rsidR="00DA115B" w:rsidRPr="00046004" w:rsidRDefault="00046004">
      <w:pPr>
        <w:pStyle w:val="a3"/>
      </w:pPr>
      <w:r>
        <w:t>Однако на переходный период с 2005 до 2007 г. для лиц моложе 1967 г. р. предусматривается шкала отчислений на формирование накопительной части пенсии, представленная в табл. 1.3., которая, как видно, ниже заявленной в таблице.</w:t>
      </w:r>
    </w:p>
    <w:p w:rsidR="00DA115B" w:rsidRDefault="00046004">
      <w:pPr>
        <w:pStyle w:val="a3"/>
      </w:pPr>
      <w:r>
        <w:t>Таблица 2 Ставки страховых пенсионных взносов для работодателей моложе 1967 г. р.</w:t>
      </w:r>
    </w:p>
    <w:p w:rsidR="00DA115B" w:rsidRDefault="00046004">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240"/>
        <w:gridCol w:w="240"/>
      </w:tblGrid>
      <w:tr w:rsidR="00DA115B">
        <w:trPr>
          <w:tblCellSpacing w:w="0" w:type="dxa"/>
        </w:trPr>
        <w:tc>
          <w:tcPr>
            <w:tcW w:w="0" w:type="auto"/>
            <w:vMerge w:val="restart"/>
            <w:vAlign w:val="center"/>
            <w:hideMark/>
          </w:tcPr>
          <w:p w:rsidR="00DA115B" w:rsidRDefault="00046004">
            <w:r>
              <w:t>База для начисления страховых взносов на каждое физическое лицо нарастающим итогом</w:t>
            </w:r>
          </w:p>
        </w:tc>
        <w:tc>
          <w:tcPr>
            <w:tcW w:w="0" w:type="auto"/>
            <w:gridSpan w:val="2"/>
            <w:vAlign w:val="center"/>
            <w:hideMark/>
          </w:tcPr>
          <w:p w:rsidR="00DA115B" w:rsidRDefault="00046004">
            <w:r>
              <w:t>2005 — 2007 г.</w:t>
            </w:r>
          </w:p>
        </w:tc>
      </w:tr>
      <w:tr w:rsidR="00DA115B">
        <w:trPr>
          <w:tblCellSpacing w:w="0" w:type="dxa"/>
        </w:trPr>
        <w:tc>
          <w:tcPr>
            <w:tcW w:w="0" w:type="auto"/>
            <w:vMerge/>
            <w:vAlign w:val="center"/>
            <w:hideMark/>
          </w:tcPr>
          <w:p w:rsidR="00DA115B" w:rsidRDefault="00DA115B"/>
        </w:tc>
        <w:tc>
          <w:tcPr>
            <w:tcW w:w="0" w:type="auto"/>
            <w:vAlign w:val="center"/>
            <w:hideMark/>
          </w:tcPr>
          <w:p w:rsidR="00DA115B" w:rsidRDefault="00046004">
            <w:r>
              <w:t>На финансирование страховой части трудовой пенсии</w:t>
            </w:r>
          </w:p>
        </w:tc>
        <w:tc>
          <w:tcPr>
            <w:tcW w:w="0" w:type="auto"/>
            <w:vAlign w:val="center"/>
            <w:hideMark/>
          </w:tcPr>
          <w:p w:rsidR="00DA115B" w:rsidRDefault="00046004">
            <w:r>
              <w:t>На финансирование накопительной части трудовой пенсии</w:t>
            </w:r>
          </w:p>
        </w:tc>
      </w:tr>
      <w:tr w:rsidR="00DA115B">
        <w:trPr>
          <w:tblCellSpacing w:w="0" w:type="dxa"/>
        </w:trPr>
        <w:tc>
          <w:tcPr>
            <w:tcW w:w="0" w:type="auto"/>
            <w:vAlign w:val="center"/>
            <w:hideMark/>
          </w:tcPr>
          <w:p w:rsidR="00DA115B" w:rsidRDefault="00046004">
            <w:r>
              <w:t>До 280 000 руб.</w:t>
            </w:r>
          </w:p>
        </w:tc>
        <w:tc>
          <w:tcPr>
            <w:tcW w:w="0" w:type="auto"/>
            <w:vAlign w:val="center"/>
            <w:hideMark/>
          </w:tcPr>
          <w:p w:rsidR="00DA115B" w:rsidRDefault="00046004">
            <w:r>
              <w:t>10%</w:t>
            </w:r>
          </w:p>
        </w:tc>
        <w:tc>
          <w:tcPr>
            <w:tcW w:w="0" w:type="auto"/>
            <w:vAlign w:val="center"/>
            <w:hideMark/>
          </w:tcPr>
          <w:p w:rsidR="00DA115B" w:rsidRDefault="00046004">
            <w:r>
              <w:t>4%</w:t>
            </w:r>
          </w:p>
        </w:tc>
      </w:tr>
      <w:tr w:rsidR="00DA115B">
        <w:trPr>
          <w:tblCellSpacing w:w="0" w:type="dxa"/>
        </w:trPr>
        <w:tc>
          <w:tcPr>
            <w:tcW w:w="0" w:type="auto"/>
            <w:vAlign w:val="center"/>
            <w:hideMark/>
          </w:tcPr>
          <w:p w:rsidR="00DA115B" w:rsidRDefault="00046004">
            <w:r>
              <w:t>От 280 001 руб. до 600 000 руб.</w:t>
            </w:r>
          </w:p>
        </w:tc>
        <w:tc>
          <w:tcPr>
            <w:tcW w:w="0" w:type="auto"/>
            <w:vAlign w:val="center"/>
            <w:hideMark/>
          </w:tcPr>
          <w:p w:rsidR="00DA115B" w:rsidRDefault="00046004">
            <w:r>
              <w:t>28 000 руб. + 3, 9% с суммы выше 280 000 руб.</w:t>
            </w:r>
          </w:p>
        </w:tc>
        <w:tc>
          <w:tcPr>
            <w:tcW w:w="0" w:type="auto"/>
            <w:vAlign w:val="center"/>
            <w:hideMark/>
          </w:tcPr>
          <w:p w:rsidR="00DA115B" w:rsidRDefault="00046004">
            <w:r>
              <w:t>11 200 руб. + 1, 6 % с суммы выше 280 000 руб.</w:t>
            </w:r>
          </w:p>
        </w:tc>
      </w:tr>
      <w:tr w:rsidR="00DA115B">
        <w:trPr>
          <w:tblCellSpacing w:w="0" w:type="dxa"/>
        </w:trPr>
        <w:tc>
          <w:tcPr>
            <w:tcW w:w="0" w:type="auto"/>
            <w:vAlign w:val="center"/>
            <w:hideMark/>
          </w:tcPr>
          <w:p w:rsidR="00DA115B" w:rsidRDefault="00046004">
            <w:r>
              <w:t>Свыше 600 000 руб.</w:t>
            </w:r>
          </w:p>
        </w:tc>
        <w:tc>
          <w:tcPr>
            <w:tcW w:w="0" w:type="auto"/>
            <w:vAlign w:val="center"/>
            <w:hideMark/>
          </w:tcPr>
          <w:p w:rsidR="00DA115B" w:rsidRDefault="00046004">
            <w:r>
              <w:t>40 480 руб.</w:t>
            </w:r>
          </w:p>
        </w:tc>
        <w:tc>
          <w:tcPr>
            <w:tcW w:w="0" w:type="auto"/>
            <w:vAlign w:val="center"/>
            <w:hideMark/>
          </w:tcPr>
          <w:p w:rsidR="00DA115B" w:rsidRDefault="00046004">
            <w:r>
              <w:t>16 320 руб.</w:t>
            </w:r>
          </w:p>
        </w:tc>
      </w:tr>
    </w:tbl>
    <w:p w:rsidR="00DA115B" w:rsidRPr="00046004" w:rsidRDefault="00046004">
      <w:pPr>
        <w:pStyle w:val="a3"/>
      </w:pPr>
      <w:r>
        <w:t>С начала 2005 г. из накопительной пенсионной системы будут исключены граждане старше 1966 г. рождения, за которых работодатель раньше уплачивал в накопительную часть пенсии 2% от его заработка. В соответствии с новыми предложениями все 14% страховых платежей за эту группу лиц планируется направлять на финансирование только распределительной страховой части пенсий. При этом средства, поступившие на накопительные счета этих граждан в период 2002-2004 г., остаются в управлении граждан и могут по их усмотрению быть переданы государственной или частной управляющей компании, а также в негосударственный пенсионный фонд.</w:t>
      </w:r>
    </w:p>
    <w:p w:rsidR="00DA115B" w:rsidRDefault="00046004">
      <w:pPr>
        <w:pStyle w:val="a3"/>
      </w:pPr>
      <w:r>
        <w:t>Негосударственное пенсионное обеспечение и корпоративные пенсионные программы</w:t>
      </w:r>
    </w:p>
    <w:p w:rsidR="00DA115B" w:rsidRDefault="00046004">
      <w:pPr>
        <w:pStyle w:val="a3"/>
      </w:pPr>
      <w:r>
        <w:t>Основу негосударственной (накопительной) системы пенсионного обеспечения составляют негосударственные пенсионные фонды (НПФ).</w:t>
      </w:r>
    </w:p>
    <w:p w:rsidR="00DA115B" w:rsidRDefault="00046004">
      <w:pPr>
        <w:pStyle w:val="a3"/>
      </w:pPr>
      <w:r>
        <w:t>Негосударственные пенсионные фонды (НПФ) — это некоммерческие организации социального обеспечения, исключительным видом деятельности которых является негосударственное пенсионное обеспечение участников фонда на основе договоров о негосударственном пенсионном обеспечении.</w:t>
      </w:r>
    </w:p>
    <w:p w:rsidR="00DA115B" w:rsidRDefault="00046004">
      <w:pPr>
        <w:pStyle w:val="a3"/>
      </w:pPr>
      <w:r>
        <w:t>Деятельность негосударственных пенсионных фондов в соответствии с Указом Президента от 9.03.2004 г. № 314 регулируется и контролируется Управлением регулирования и контроля за коллективными инвестициями при Федеральной службе по финансовым рынкам (ФСФР).</w:t>
      </w:r>
    </w:p>
    <w:p w:rsidR="00DA115B" w:rsidRDefault="00046004">
      <w:pPr>
        <w:pStyle w:val="a3"/>
      </w:pPr>
      <w:r>
        <w:t>На основании договора о негосударственном пенсионном обеспечении между предприятием и НПФ работодатели имеют возможность:</w:t>
      </w:r>
    </w:p>
    <w:p w:rsidR="00DA115B" w:rsidRDefault="00046004">
      <w:pPr>
        <w:pStyle w:val="a3"/>
      </w:pPr>
      <w:r>
        <w:t>повысить уровень материального стимулирования работников;</w:t>
      </w:r>
    </w:p>
    <w:p w:rsidR="00DA115B" w:rsidRDefault="00046004">
      <w:pPr>
        <w:pStyle w:val="a3"/>
      </w:pPr>
      <w:r>
        <w:t>обеспечить достаточный уровень содержания ветеранам предприятия;</w:t>
      </w:r>
    </w:p>
    <w:p w:rsidR="00DA115B" w:rsidRDefault="00046004">
      <w:pPr>
        <w:pStyle w:val="a3"/>
      </w:pPr>
      <w:r>
        <w:t>эффективно проводить кадровую политику предприятия;</w:t>
      </w:r>
    </w:p>
    <w:p w:rsidR="00DA115B" w:rsidRDefault="00046004">
      <w:pPr>
        <w:pStyle w:val="a3"/>
      </w:pPr>
      <w:r>
        <w:t>получить дополнительные источники инвестиций в свое предприятие.</w:t>
      </w:r>
    </w:p>
    <w:p w:rsidR="00DA115B" w:rsidRDefault="00046004">
      <w:pPr>
        <w:pStyle w:val="a3"/>
      </w:pPr>
      <w:r>
        <w:t>Корпоративные пенсионные программы</w:t>
      </w:r>
    </w:p>
    <w:p w:rsidR="00DA115B" w:rsidRDefault="00046004">
      <w:pPr>
        <w:pStyle w:val="a3"/>
      </w:pPr>
      <w:r>
        <w:t>С целью реализации социальных программ, осуществления налогового планирования, для реинвестирования пенсионных резервов НПФ в корпоративные проекты создаются корпоративные пенсионные программы.</w:t>
      </w:r>
    </w:p>
    <w:p w:rsidR="00DA115B" w:rsidRDefault="00046004">
      <w:pPr>
        <w:pStyle w:val="a3"/>
      </w:pPr>
      <w:r>
        <w:t>Схема организации корпоративных пенсионных программ на предприятии представлена на рис. 5.</w:t>
      </w:r>
    </w:p>
    <w:p w:rsidR="00DA115B" w:rsidRDefault="00231668">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4pt;height:24pt"/>
        </w:pict>
      </w:r>
    </w:p>
    <w:p w:rsidR="00DA115B" w:rsidRDefault="00046004">
      <w:pPr>
        <w:pStyle w:val="a3"/>
      </w:pPr>
      <w:r>
        <w:t>Рис. 5. Схема организации корпоративных пенсионных программ</w:t>
      </w:r>
    </w:p>
    <w:p w:rsidR="00DA115B" w:rsidRDefault="00046004">
      <w:pPr>
        <w:pStyle w:val="a3"/>
      </w:pPr>
      <w:r>
        <w:t>В основе функционирования НПФ лежит пенсионная схема, которая определяет порядок взаимоотношений между тремя субъектами: вкладчик (предприятие) — фонд (НПФ) — участник (работник).</w:t>
      </w:r>
    </w:p>
    <w:p w:rsidR="00DA115B" w:rsidRDefault="00046004">
      <w:pPr>
        <w:pStyle w:val="a3"/>
      </w:pPr>
      <w:r>
        <w:t>Функции пенсионной схемы:</w:t>
      </w:r>
    </w:p>
    <w:p w:rsidR="00DA115B" w:rsidRDefault="00046004">
      <w:pPr>
        <w:pStyle w:val="a3"/>
      </w:pPr>
      <w:r>
        <w:t>условия и порядок внесения взносов;</w:t>
      </w:r>
    </w:p>
    <w:p w:rsidR="00DA115B" w:rsidRDefault="00046004">
      <w:pPr>
        <w:pStyle w:val="a3"/>
      </w:pPr>
      <w:r>
        <w:t>условия распределения инвестиционного дохода;</w:t>
      </w:r>
    </w:p>
    <w:p w:rsidR="00DA115B" w:rsidRDefault="00046004">
      <w:pPr>
        <w:pStyle w:val="a3"/>
      </w:pPr>
      <w:r>
        <w:t>возможности выкупных сумм ;</w:t>
      </w:r>
    </w:p>
    <w:p w:rsidR="00DA115B" w:rsidRDefault="00046004">
      <w:pPr>
        <w:pStyle w:val="a3"/>
      </w:pPr>
      <w:r>
        <w:t>правила наследования;</w:t>
      </w:r>
    </w:p>
    <w:p w:rsidR="00DA115B" w:rsidRDefault="00046004">
      <w:pPr>
        <w:pStyle w:val="a3"/>
      </w:pPr>
      <w:r>
        <w:t>уровень доходности;</w:t>
      </w:r>
    </w:p>
    <w:p w:rsidR="00DA115B" w:rsidRDefault="00046004">
      <w:pPr>
        <w:pStyle w:val="a3"/>
      </w:pPr>
      <w:r>
        <w:t>формирование и расходование пенсионного резерва.</w:t>
      </w:r>
    </w:p>
    <w:p w:rsidR="00DA115B" w:rsidRDefault="00046004">
      <w:pPr>
        <w:pStyle w:val="a3"/>
      </w:pPr>
      <w:r>
        <w:t>Пенсионные схемы могут быть двух видов:</w:t>
      </w:r>
    </w:p>
    <w:p w:rsidR="00DA115B" w:rsidRDefault="00046004">
      <w:pPr>
        <w:pStyle w:val="a3"/>
      </w:pPr>
      <w:r>
        <w:t>с установленными взносами (где заранее определяется размер взноса на финансирование негосударственной пенсии, но не оговаривается размер выплат пенсий);</w:t>
      </w:r>
    </w:p>
    <w:p w:rsidR="00DA115B" w:rsidRDefault="00046004">
      <w:pPr>
        <w:pStyle w:val="a3"/>
      </w:pPr>
      <w:r>
        <w:t>с установленными выплатами (в них заранее определяется размер выплат пенсий, но размер взносов может корректироваться).</w:t>
      </w:r>
    </w:p>
    <w:p w:rsidR="00DA115B" w:rsidRDefault="00046004">
      <w:pPr>
        <w:pStyle w:val="a3"/>
      </w:pPr>
      <w:r>
        <w:t>В корпоративных пенсионных программах применяется четыре базовых вида схем: «С установленными взносами. Пожизненная»; «С установленными взносами. Срочная»; «С установленными взносами. Пожизненная. Солидарная» (наиболее популярная среди работодателей в настоящее время); «С установленными взносами. Срочная. Солидарная».</w:t>
      </w:r>
    </w:p>
    <w:p w:rsidR="00DA115B" w:rsidRDefault="00046004">
      <w:pPr>
        <w:pStyle w:val="a3"/>
      </w:pPr>
      <w:r>
        <w:t>Пенсионные накопления могут формироваться как на солидарных пенсионных счетах (СПС) в НПФ, так и на индивидуальных (именных) счетах работников (ИПС).</w:t>
      </w:r>
    </w:p>
    <w:p w:rsidR="00DA115B" w:rsidRDefault="00046004">
      <w:pPr>
        <w:pStyle w:val="a3"/>
      </w:pPr>
      <w:r>
        <w:t>Негосударственный пенсионный фонд может предложить участнику пенсионную программу, размер пенсии в которой рассчитывается в зависимости от:</w:t>
      </w:r>
    </w:p>
    <w:p w:rsidR="00DA115B" w:rsidRDefault="00046004">
      <w:pPr>
        <w:pStyle w:val="a3"/>
      </w:pPr>
      <w:r>
        <w:t>тарифного разряда работника (тарифная программа);</w:t>
      </w:r>
    </w:p>
    <w:p w:rsidR="00DA115B" w:rsidRDefault="00046004">
      <w:pPr>
        <w:pStyle w:val="a3"/>
      </w:pPr>
      <w:r>
        <w:t>размера пенсионных накоплений, времени участия в программе (накопительная программа);</w:t>
      </w:r>
    </w:p>
    <w:p w:rsidR="00DA115B" w:rsidRDefault="00046004">
      <w:pPr>
        <w:pStyle w:val="a3"/>
      </w:pPr>
      <w:r>
        <w:t>пропорций внесения взносов предприятием (пропорциональная программа)</w:t>
      </w:r>
    </w:p>
    <w:p w:rsidR="00DA115B" w:rsidRDefault="00046004">
      <w:pPr>
        <w:pStyle w:val="a3"/>
      </w:pPr>
      <w:r>
        <w:t>Налогообложение негосударственных пенсионных взносов</w:t>
      </w:r>
    </w:p>
    <w:p w:rsidR="00DA115B" w:rsidRDefault="00046004">
      <w:pPr>
        <w:pStyle w:val="a3"/>
      </w:pPr>
      <w:r>
        <w:t>Согласно ст. 213, 236 и 255 Налогового кодекса РФ пенсионные взносы в НПФ включаются в расходы предприятия и уменьшают налоговую базу налога на прибыль на 12% без начисления ЕСН и подоходного налога на работников.</w:t>
      </w:r>
    </w:p>
    <w:p w:rsidR="00DA115B" w:rsidRDefault="00046004">
      <w:pPr>
        <w:pStyle w:val="a3"/>
      </w:pPr>
      <w:r>
        <w:t>Договоры негосударственного пенсионного обеспечения должны быть заключены на срок не менее 5 лет и предусматривать выплату пожизненной пенсии, при достижении застрахованным лицом пенсионных оснований, предусмотренных законодательством РФ.</w:t>
      </w:r>
    </w:p>
    <w:p w:rsidR="00DA115B" w:rsidRDefault="00046004">
      <w:pPr>
        <w:pStyle w:val="a3"/>
      </w:pPr>
      <w:r>
        <w:t>Пенсионное страхование и бюджет Пенсионного фонда РФ</w:t>
      </w:r>
    </w:p>
    <w:p w:rsidR="00DA115B" w:rsidRDefault="00046004">
      <w:pPr>
        <w:pStyle w:val="a3"/>
      </w:pPr>
      <w:r>
        <w:t>Для обеспечения пенсионного страхования работодатели отчисляют средства единого социального налога в Пенсионный фонд РФ, бюджет которого ежегодно утверждается федеральным законом и исполняется в соответствии с законом об обязательном социальном страховании и Бюджетным кодексом. Раньше при ставке ЕСН 35, 6% на пенсионное страхование направлялось 28% (на социальное страхование — 4, 4%, на обязательное медицинское страхование — 3, 2%). С 2005 г. при ставке ЕСН 26% доля Пенсионного фонда — 20%. Федерального и территориальных фондов обязательного медицинского страхования — 3, 1% (соответственно 1, 1% + 2, 0%), Фонда социального страхования РФ — 2.9%. С 2011 г. при общей ставке отчислений на социальное страхование 34% Пенсионному фонду будет перечисляться 26%, 5, 1% — Федеральному и территориальным фондам обязательного медицинского страхования (2, 1 % + 3, 0%), 2, 9% — Фонду социального страхования РФ. Очевидным является увеличение общей величины отчислений на медицинское страхование.</w:t>
      </w:r>
    </w:p>
    <w:p w:rsidR="00DA115B" w:rsidRDefault="00046004">
      <w:pPr>
        <w:pStyle w:val="a3"/>
      </w:pPr>
      <w:r>
        <w:t>Финансовое равновесие пенсионной системы зависит от трех групп факторов: экономической ситуации, демографического развития и управления системой.</w:t>
      </w:r>
    </w:p>
    <w:p w:rsidR="00DA115B" w:rsidRDefault="00046004">
      <w:pPr>
        <w:pStyle w:val="a3"/>
      </w:pPr>
      <w:r>
        <w:t>До последнего времени был такой порядок: часть ЕСН поступала в бюджет для формирования базовой составляющей трудовой пенсии, которая затем передавалась Пенсионному фонду; часть ЕСН шла на формирование страховой части трудовой пенсии, напрямую поступавшей в бюджет Пенсионного фонда; накопительная часть передавалась в управление Внешэкономбанка и негосударственных пенсионных фондов (НПФ). После внесения изменений в действующие законодательные акты (июль 2009 г.) первую часть также решено напрямую перечислять Пенсионному фонду. Третью часть (накопительную) предполагается более обоснованно «разделить» между управляющими государственной и негосударственными компаниями. В формировании накопительной части трудовой пенсии новым является государственное софинансирование. Если работник производит дополнительные отчисления для увеличения накоплений, например, в размере 12 000 руб. в год, то столько же добавляет государство за счет бюджетных средств, перечисляемых в бюджет Пенсионного фонда на счет соответствующего лица с последующей передачей управляющей компании. Государству это выгодно, поскольку поступающие на счет пенсионера средства управляющей компанией используются для приобретения государственных облигаций, выручка от размещения которых становится источником покрытия дефицита бюджета. Для работника отчисления сверх 12 ООО руб. в гол менее выгодны, поскольку при добровольных отчислениях сверх указанной суммы государство не участвует в со- финансировании накопительной части пенсии. Государственной управляющей компанией является Банк развития (Внешэкономбанк). Перспектива сохранения в его управлении подавляющей части источника для накопительной части трудовой пенсии остается за этим банком. В его планах, для реализации которых создана основа (принят и 2 августа 2009 г. вступил в силу соответствующий закон) — вложения пенсионных накоплений вдва портфеля. Расширенный инвестиционный портфель Банка развития «наполнен» теперь не только государственными обшефедеральными облигациями, но и субфедеральными и муниципальными ценными бумагами, депозитами в рублях, долларах и евро, а также корпоративными облигациями и облигациями международных финансовых организаций. Это означает, что росту объема пенсионных накоплений в управлении частных управляющих компаний (УК) будут противостоять интересы государственной компании. Изначально Внешэкономбанку достались средства большинства россиян, не изъявивших желания сотрудничать с НПФ. Однако проблемой остается доходность инвестирования пенсионных накоплений. В 2009 г. Внешэкономбанк имел уровень доходности 9, 52%. По отношению к официальному уровню инфляции (8, 8%) плюсовая разница составляла 0, 68 п.п. По итогам кризисного 2008 г. банк имел доходность минусовую — на уровне 0, 46 п.п. До кризиса в течение трех лет (2005-2007 гг.) плюсовая доходность составляла 4, 95 п.п. На конец 2009 г. под управлением Внешэкономбанка находилось 480 млрд руб. пенсионных накоплений граждан — свыше 92% всех накоплений по обязательному пенсионному страхованию.</w:t>
      </w:r>
    </w:p>
    <w:p w:rsidR="00DA115B" w:rsidRDefault="00046004">
      <w:pPr>
        <w:pStyle w:val="a3"/>
      </w:pPr>
      <w:r>
        <w:t>Ниже приведен расчет прогноза дефицита Пенсионного фонда России на 2007-2013 гг. при прежней ставке ЕСН. Однако принятые меры, в том числе рост трансфертов из федерального бюджета, изменили ситуацию (табл. 2.7).</w:t>
      </w:r>
    </w:p>
    <w:p w:rsidR="00DA115B" w:rsidRDefault="00046004">
      <w:pPr>
        <w:pStyle w:val="a3"/>
      </w:pPr>
      <w:r>
        <w:t>Прогноз роста численности пенсионеров (к 2013 г. — 41-42 млн пенсионеров) был основанием для увеличения ставки отчислений на пенсионное страхование. Иначе бюджет фонда мог быть прогрессирующе дотационным. Размер дефицита ПФР ежегодно возрастал (см. табл. 2.8). Финансовый резерв фонда уже к началу 2007 г. был исчерпан.</w:t>
      </w:r>
    </w:p>
    <w:p w:rsidR="00DA115B" w:rsidRDefault="00046004">
      <w:pPr>
        <w:pStyle w:val="a3"/>
      </w:pPr>
      <w:r>
        <w:t>Таблица 2.7. Расчетная таблица прогноза дефицита ПФР на 2007-2013 гг. при действовавших источниках финансирования</w:t>
      </w:r>
    </w:p>
    <w:p w:rsidR="00DA115B" w:rsidRDefault="00046004">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gridCol w:w="480"/>
        <w:gridCol w:w="480"/>
      </w:tblGrid>
      <w:tr w:rsidR="00DA115B">
        <w:trPr>
          <w:tblCellSpacing w:w="0" w:type="dxa"/>
        </w:trPr>
        <w:tc>
          <w:tcPr>
            <w:tcW w:w="0" w:type="auto"/>
            <w:vAlign w:val="center"/>
            <w:hideMark/>
          </w:tcPr>
          <w:p w:rsidR="00DA115B" w:rsidRDefault="00046004">
            <w:r>
              <w:t>Год</w:t>
            </w:r>
          </w:p>
        </w:tc>
        <w:tc>
          <w:tcPr>
            <w:tcW w:w="0" w:type="auto"/>
            <w:vAlign w:val="center"/>
            <w:hideMark/>
          </w:tcPr>
          <w:p w:rsidR="00DA115B" w:rsidRDefault="00046004">
            <w:r>
              <w:t>Среднемесячная заработная плата, руб.</w:t>
            </w:r>
          </w:p>
        </w:tc>
        <w:tc>
          <w:tcPr>
            <w:tcW w:w="0" w:type="auto"/>
            <w:vAlign w:val="center"/>
            <w:hideMark/>
          </w:tcPr>
          <w:p w:rsidR="00DA115B" w:rsidRDefault="00046004">
            <w:r>
              <w:t>Численность занятых, за минусом лиц. не уплачивающих ЕСН по 20%. млн чел.</w:t>
            </w:r>
          </w:p>
        </w:tc>
        <w:tc>
          <w:tcPr>
            <w:tcW w:w="0" w:type="auto"/>
            <w:vAlign w:val="center"/>
            <w:hideMark/>
          </w:tcPr>
          <w:p w:rsidR="00DA115B" w:rsidRDefault="00046004">
            <w:r>
              <w:t>Численность пенсионеров, млн чел.</w:t>
            </w:r>
          </w:p>
        </w:tc>
        <w:tc>
          <w:tcPr>
            <w:tcW w:w="0" w:type="auto"/>
            <w:vAlign w:val="center"/>
            <w:hideMark/>
          </w:tcPr>
          <w:p w:rsidR="00DA115B" w:rsidRDefault="00046004">
            <w:r>
              <w:t>Дефицит ПФР. млн руб.</w:t>
            </w:r>
          </w:p>
        </w:tc>
      </w:tr>
      <w:tr w:rsidR="00DA115B">
        <w:trPr>
          <w:tblCellSpacing w:w="0" w:type="dxa"/>
        </w:trPr>
        <w:tc>
          <w:tcPr>
            <w:tcW w:w="0" w:type="auto"/>
            <w:vAlign w:val="center"/>
            <w:hideMark/>
          </w:tcPr>
          <w:p w:rsidR="00DA115B" w:rsidRDefault="00046004">
            <w:r>
              <w:t>1995</w:t>
            </w:r>
          </w:p>
        </w:tc>
        <w:tc>
          <w:tcPr>
            <w:tcW w:w="0" w:type="auto"/>
            <w:vAlign w:val="center"/>
            <w:hideMark/>
          </w:tcPr>
          <w:p w:rsidR="00DA115B" w:rsidRDefault="00046004">
            <w:r>
              <w:t>472.4</w:t>
            </w:r>
          </w:p>
        </w:tc>
        <w:tc>
          <w:tcPr>
            <w:tcW w:w="0" w:type="auto"/>
            <w:vAlign w:val="center"/>
            <w:hideMark/>
          </w:tcPr>
          <w:p w:rsidR="00DA115B" w:rsidRDefault="00046004">
            <w:r>
              <w:t>56.409</w:t>
            </w:r>
          </w:p>
        </w:tc>
        <w:tc>
          <w:tcPr>
            <w:tcW w:w="0" w:type="auto"/>
            <w:vAlign w:val="center"/>
            <w:hideMark/>
          </w:tcPr>
          <w:p w:rsidR="00DA115B" w:rsidRDefault="00046004">
            <w:r>
              <w:t>37, 080</w:t>
            </w:r>
          </w:p>
        </w:tc>
        <w:tc>
          <w:tcPr>
            <w:tcW w:w="0" w:type="auto"/>
            <w:vMerge w:val="restart"/>
            <w:vAlign w:val="center"/>
            <w:hideMark/>
          </w:tcPr>
          <w:p w:rsidR="00DA115B" w:rsidRDefault="00046004">
            <w:r>
              <w:t> </w:t>
            </w:r>
          </w:p>
        </w:tc>
      </w:tr>
      <w:tr w:rsidR="00DA115B">
        <w:trPr>
          <w:tblCellSpacing w:w="0" w:type="dxa"/>
        </w:trPr>
        <w:tc>
          <w:tcPr>
            <w:tcW w:w="0" w:type="auto"/>
            <w:vAlign w:val="center"/>
            <w:hideMark/>
          </w:tcPr>
          <w:p w:rsidR="00DA115B" w:rsidRDefault="00046004">
            <w:r>
              <w:t>1996</w:t>
            </w:r>
          </w:p>
        </w:tc>
        <w:tc>
          <w:tcPr>
            <w:tcW w:w="0" w:type="auto"/>
            <w:vAlign w:val="center"/>
            <w:hideMark/>
          </w:tcPr>
          <w:p w:rsidR="00DA115B" w:rsidRDefault="00046004">
            <w:r>
              <w:t>790, 2</w:t>
            </w:r>
          </w:p>
        </w:tc>
        <w:tc>
          <w:tcPr>
            <w:tcW w:w="0" w:type="auto"/>
            <w:vAlign w:val="center"/>
            <w:hideMark/>
          </w:tcPr>
          <w:p w:rsidR="00DA115B" w:rsidRDefault="00046004">
            <w:r>
              <w:t>56, 000</w:t>
            </w:r>
          </w:p>
        </w:tc>
        <w:tc>
          <w:tcPr>
            <w:tcW w:w="0" w:type="auto"/>
            <w:vAlign w:val="center"/>
            <w:hideMark/>
          </w:tcPr>
          <w:p w:rsidR="00DA115B" w:rsidRDefault="00046004">
            <w:r>
              <w:t>37, 827</w:t>
            </w:r>
          </w:p>
        </w:tc>
        <w:tc>
          <w:tcPr>
            <w:tcW w:w="0" w:type="auto"/>
            <w:vMerge/>
            <w:vAlign w:val="center"/>
            <w:hideMark/>
          </w:tcPr>
          <w:p w:rsidR="00DA115B" w:rsidRDefault="00DA115B"/>
        </w:tc>
      </w:tr>
      <w:tr w:rsidR="00DA115B">
        <w:trPr>
          <w:tblCellSpacing w:w="0" w:type="dxa"/>
        </w:trPr>
        <w:tc>
          <w:tcPr>
            <w:tcW w:w="0" w:type="auto"/>
            <w:vAlign w:val="center"/>
            <w:hideMark/>
          </w:tcPr>
          <w:p w:rsidR="00DA115B" w:rsidRDefault="00046004">
            <w:r>
              <w:t>1997</w:t>
            </w:r>
          </w:p>
        </w:tc>
        <w:tc>
          <w:tcPr>
            <w:tcW w:w="0" w:type="auto"/>
            <w:vAlign w:val="center"/>
            <w:hideMark/>
          </w:tcPr>
          <w:p w:rsidR="00DA115B" w:rsidRDefault="00046004">
            <w:r>
              <w:t>950, 2</w:t>
            </w:r>
          </w:p>
        </w:tc>
        <w:tc>
          <w:tcPr>
            <w:tcW w:w="0" w:type="auto"/>
            <w:vAlign w:val="center"/>
            <w:hideMark/>
          </w:tcPr>
          <w:p w:rsidR="00DA115B" w:rsidRDefault="00046004">
            <w:r>
              <w:t>54, 693</w:t>
            </w:r>
          </w:p>
        </w:tc>
        <w:tc>
          <w:tcPr>
            <w:tcW w:w="0" w:type="auto"/>
            <w:vAlign w:val="center"/>
            <w:hideMark/>
          </w:tcPr>
          <w:p w:rsidR="00DA115B" w:rsidRDefault="00046004">
            <w:r>
              <w:t>38.184</w:t>
            </w:r>
          </w:p>
        </w:tc>
        <w:tc>
          <w:tcPr>
            <w:tcW w:w="0" w:type="auto"/>
            <w:vMerge/>
            <w:vAlign w:val="center"/>
            <w:hideMark/>
          </w:tcPr>
          <w:p w:rsidR="00DA115B" w:rsidRDefault="00DA115B"/>
        </w:tc>
      </w:tr>
      <w:tr w:rsidR="00DA115B">
        <w:trPr>
          <w:tblCellSpacing w:w="0" w:type="dxa"/>
        </w:trPr>
        <w:tc>
          <w:tcPr>
            <w:tcW w:w="0" w:type="auto"/>
            <w:vAlign w:val="center"/>
            <w:hideMark/>
          </w:tcPr>
          <w:p w:rsidR="00DA115B" w:rsidRDefault="00046004">
            <w:r>
              <w:t>1998</w:t>
            </w:r>
          </w:p>
        </w:tc>
        <w:tc>
          <w:tcPr>
            <w:tcW w:w="0" w:type="auto"/>
            <w:vAlign w:val="center"/>
            <w:hideMark/>
          </w:tcPr>
          <w:p w:rsidR="00DA115B" w:rsidRDefault="00046004">
            <w:r>
              <w:t>1051.5</w:t>
            </w:r>
          </w:p>
        </w:tc>
        <w:tc>
          <w:tcPr>
            <w:tcW w:w="0" w:type="auto"/>
            <w:vAlign w:val="center"/>
            <w:hideMark/>
          </w:tcPr>
          <w:p w:rsidR="00DA115B" w:rsidRDefault="00046004">
            <w:r>
              <w:t>53, 812</w:t>
            </w:r>
          </w:p>
        </w:tc>
        <w:tc>
          <w:tcPr>
            <w:tcW w:w="0" w:type="auto"/>
            <w:vAlign w:val="center"/>
            <w:hideMark/>
          </w:tcPr>
          <w:p w:rsidR="00DA115B" w:rsidRDefault="00046004">
            <w:r>
              <w:t>38, 410</w:t>
            </w:r>
          </w:p>
        </w:tc>
        <w:tc>
          <w:tcPr>
            <w:tcW w:w="0" w:type="auto"/>
            <w:vMerge/>
            <w:vAlign w:val="center"/>
            <w:hideMark/>
          </w:tcPr>
          <w:p w:rsidR="00DA115B" w:rsidRDefault="00DA115B"/>
        </w:tc>
      </w:tr>
      <w:tr w:rsidR="00DA115B">
        <w:trPr>
          <w:tblCellSpacing w:w="0" w:type="dxa"/>
        </w:trPr>
        <w:tc>
          <w:tcPr>
            <w:tcW w:w="0" w:type="auto"/>
            <w:vAlign w:val="center"/>
            <w:hideMark/>
          </w:tcPr>
          <w:p w:rsidR="00DA115B" w:rsidRDefault="00046004">
            <w:r>
              <w:t>1999</w:t>
            </w:r>
          </w:p>
        </w:tc>
        <w:tc>
          <w:tcPr>
            <w:tcW w:w="0" w:type="auto"/>
            <w:vAlign w:val="center"/>
            <w:hideMark/>
          </w:tcPr>
          <w:p w:rsidR="00DA115B" w:rsidRDefault="00046004">
            <w:r>
              <w:t>1522, 6</w:t>
            </w:r>
          </w:p>
        </w:tc>
        <w:tc>
          <w:tcPr>
            <w:tcW w:w="0" w:type="auto"/>
            <w:vAlign w:val="center"/>
            <w:hideMark/>
          </w:tcPr>
          <w:p w:rsidR="00DA115B" w:rsidRDefault="00046004">
            <w:r>
              <w:t>53, 963</w:t>
            </w:r>
          </w:p>
        </w:tc>
        <w:tc>
          <w:tcPr>
            <w:tcW w:w="0" w:type="auto"/>
            <w:vAlign w:val="center"/>
            <w:hideMark/>
          </w:tcPr>
          <w:p w:rsidR="00DA115B" w:rsidRDefault="00046004">
            <w:r>
              <w:t>38, 381</w:t>
            </w:r>
          </w:p>
        </w:tc>
        <w:tc>
          <w:tcPr>
            <w:tcW w:w="0" w:type="auto"/>
            <w:vMerge/>
            <w:vAlign w:val="center"/>
            <w:hideMark/>
          </w:tcPr>
          <w:p w:rsidR="00DA115B" w:rsidRDefault="00DA115B"/>
        </w:tc>
      </w:tr>
      <w:tr w:rsidR="00DA115B">
        <w:trPr>
          <w:tblCellSpacing w:w="0" w:type="dxa"/>
        </w:trPr>
        <w:tc>
          <w:tcPr>
            <w:tcW w:w="0" w:type="auto"/>
            <w:vAlign w:val="center"/>
            <w:hideMark/>
          </w:tcPr>
          <w:p w:rsidR="00DA115B" w:rsidRDefault="00046004">
            <w:r>
              <w:t>2000</w:t>
            </w:r>
          </w:p>
        </w:tc>
        <w:tc>
          <w:tcPr>
            <w:tcW w:w="0" w:type="auto"/>
            <w:vAlign w:val="center"/>
            <w:hideMark/>
          </w:tcPr>
          <w:p w:rsidR="00DA115B" w:rsidRDefault="00046004">
            <w:r>
              <w:t>2223.4</w:t>
            </w:r>
          </w:p>
        </w:tc>
        <w:tc>
          <w:tcPr>
            <w:tcW w:w="0" w:type="auto"/>
            <w:vAlign w:val="center"/>
            <w:hideMark/>
          </w:tcPr>
          <w:p w:rsidR="00DA115B" w:rsidRDefault="00046004">
            <w:r>
              <w:t>54, 327</w:t>
            </w:r>
          </w:p>
        </w:tc>
        <w:tc>
          <w:tcPr>
            <w:tcW w:w="0" w:type="auto"/>
            <w:vAlign w:val="center"/>
            <w:hideMark/>
          </w:tcPr>
          <w:p w:rsidR="00DA115B" w:rsidRDefault="00046004">
            <w:r>
              <w:t>38, 411</w:t>
            </w:r>
          </w:p>
        </w:tc>
        <w:tc>
          <w:tcPr>
            <w:tcW w:w="0" w:type="auto"/>
            <w:vMerge/>
            <w:vAlign w:val="center"/>
            <w:hideMark/>
          </w:tcPr>
          <w:p w:rsidR="00DA115B" w:rsidRDefault="00DA115B"/>
        </w:tc>
      </w:tr>
      <w:tr w:rsidR="00DA115B">
        <w:trPr>
          <w:tblCellSpacing w:w="0" w:type="dxa"/>
        </w:trPr>
        <w:tc>
          <w:tcPr>
            <w:tcW w:w="0" w:type="auto"/>
            <w:vAlign w:val="center"/>
            <w:hideMark/>
          </w:tcPr>
          <w:p w:rsidR="00DA115B" w:rsidRDefault="00046004">
            <w:r>
              <w:t>2001</w:t>
            </w:r>
          </w:p>
        </w:tc>
        <w:tc>
          <w:tcPr>
            <w:tcW w:w="0" w:type="auto"/>
            <w:vAlign w:val="center"/>
            <w:hideMark/>
          </w:tcPr>
          <w:p w:rsidR="00DA115B" w:rsidRDefault="00046004">
            <w:r>
              <w:t>3240.4</w:t>
            </w:r>
          </w:p>
        </w:tc>
        <w:tc>
          <w:tcPr>
            <w:tcW w:w="0" w:type="auto"/>
            <w:vAlign w:val="center"/>
            <w:hideMark/>
          </w:tcPr>
          <w:p w:rsidR="00DA115B" w:rsidRDefault="00046004">
            <w:r>
              <w:t>58, 069</w:t>
            </w:r>
          </w:p>
        </w:tc>
        <w:tc>
          <w:tcPr>
            <w:tcW w:w="0" w:type="auto"/>
            <w:vAlign w:val="center"/>
            <w:hideMark/>
          </w:tcPr>
          <w:p w:rsidR="00DA115B" w:rsidRDefault="00046004">
            <w:r>
              <w:t>38, 630</w:t>
            </w:r>
          </w:p>
        </w:tc>
        <w:tc>
          <w:tcPr>
            <w:tcW w:w="0" w:type="auto"/>
            <w:vMerge/>
            <w:vAlign w:val="center"/>
            <w:hideMark/>
          </w:tcPr>
          <w:p w:rsidR="00DA115B" w:rsidRDefault="00DA115B"/>
        </w:tc>
      </w:tr>
      <w:tr w:rsidR="00DA115B">
        <w:trPr>
          <w:tblCellSpacing w:w="0" w:type="dxa"/>
        </w:trPr>
        <w:tc>
          <w:tcPr>
            <w:tcW w:w="0" w:type="auto"/>
            <w:vAlign w:val="center"/>
            <w:hideMark/>
          </w:tcPr>
          <w:p w:rsidR="00DA115B" w:rsidRDefault="00046004">
            <w:r>
              <w:t>2002</w:t>
            </w:r>
          </w:p>
        </w:tc>
        <w:tc>
          <w:tcPr>
            <w:tcW w:w="0" w:type="auto"/>
            <w:vAlign w:val="center"/>
            <w:hideMark/>
          </w:tcPr>
          <w:p w:rsidR="00DA115B" w:rsidRDefault="00046004">
            <w:r>
              <w:t>4360, 3</w:t>
            </w:r>
          </w:p>
        </w:tc>
        <w:tc>
          <w:tcPr>
            <w:tcW w:w="0" w:type="auto"/>
            <w:vAlign w:val="center"/>
            <w:hideMark/>
          </w:tcPr>
          <w:p w:rsidR="00DA115B" w:rsidRDefault="00046004">
            <w:r>
              <w:t>57, 982</w:t>
            </w:r>
          </w:p>
        </w:tc>
        <w:tc>
          <w:tcPr>
            <w:tcW w:w="0" w:type="auto"/>
            <w:vAlign w:val="center"/>
            <w:hideMark/>
          </w:tcPr>
          <w:p w:rsidR="00DA115B" w:rsidRDefault="00046004">
            <w:r>
              <w:t>38, 432</w:t>
            </w:r>
          </w:p>
        </w:tc>
        <w:tc>
          <w:tcPr>
            <w:tcW w:w="0" w:type="auto"/>
            <w:vAlign w:val="center"/>
            <w:hideMark/>
          </w:tcPr>
          <w:p w:rsidR="00DA115B" w:rsidRDefault="00046004">
            <w:r>
              <w:t>-2</w:t>
            </w:r>
          </w:p>
        </w:tc>
      </w:tr>
      <w:tr w:rsidR="00DA115B">
        <w:trPr>
          <w:tblCellSpacing w:w="0" w:type="dxa"/>
        </w:trPr>
        <w:tc>
          <w:tcPr>
            <w:tcW w:w="0" w:type="auto"/>
            <w:vAlign w:val="center"/>
            <w:hideMark/>
          </w:tcPr>
          <w:p w:rsidR="00DA115B" w:rsidRDefault="00046004">
            <w:r>
              <w:t>2003</w:t>
            </w:r>
          </w:p>
        </w:tc>
        <w:tc>
          <w:tcPr>
            <w:tcW w:w="0" w:type="auto"/>
            <w:vAlign w:val="center"/>
            <w:hideMark/>
          </w:tcPr>
          <w:p w:rsidR="00DA115B" w:rsidRDefault="00046004">
            <w:r>
              <w:t>5498, 5</w:t>
            </w:r>
          </w:p>
        </w:tc>
        <w:tc>
          <w:tcPr>
            <w:tcW w:w="0" w:type="auto"/>
            <w:vAlign w:val="center"/>
            <w:hideMark/>
          </w:tcPr>
          <w:p w:rsidR="00DA115B" w:rsidRDefault="00046004">
            <w:r>
              <w:t>57, 894</w:t>
            </w:r>
          </w:p>
        </w:tc>
        <w:tc>
          <w:tcPr>
            <w:tcW w:w="0" w:type="auto"/>
            <w:vAlign w:val="center"/>
            <w:hideMark/>
          </w:tcPr>
          <w:p w:rsidR="00DA115B" w:rsidRDefault="00046004">
            <w:r>
              <w:t>38, 164</w:t>
            </w:r>
          </w:p>
        </w:tc>
        <w:tc>
          <w:tcPr>
            <w:tcW w:w="0" w:type="auto"/>
            <w:vAlign w:val="center"/>
            <w:hideMark/>
          </w:tcPr>
          <w:p w:rsidR="00DA115B" w:rsidRDefault="00046004">
            <w:r>
              <w:t>-13</w:t>
            </w:r>
          </w:p>
        </w:tc>
      </w:tr>
      <w:tr w:rsidR="00DA115B">
        <w:trPr>
          <w:tblCellSpacing w:w="0" w:type="dxa"/>
        </w:trPr>
        <w:tc>
          <w:tcPr>
            <w:tcW w:w="0" w:type="auto"/>
            <w:vAlign w:val="center"/>
            <w:hideMark/>
          </w:tcPr>
          <w:p w:rsidR="00DA115B" w:rsidRDefault="00046004">
            <w:r>
              <w:t>2004</w:t>
            </w:r>
          </w:p>
        </w:tc>
        <w:tc>
          <w:tcPr>
            <w:tcW w:w="0" w:type="auto"/>
            <w:vAlign w:val="center"/>
            <w:hideMark/>
          </w:tcPr>
          <w:p w:rsidR="00DA115B" w:rsidRDefault="00046004">
            <w:r>
              <w:t>6740</w:t>
            </w:r>
          </w:p>
        </w:tc>
        <w:tc>
          <w:tcPr>
            <w:tcW w:w="0" w:type="auto"/>
            <w:vAlign w:val="center"/>
            <w:hideMark/>
          </w:tcPr>
          <w:p w:rsidR="00DA115B" w:rsidRDefault="00046004">
            <w:r>
              <w:t>56.44</w:t>
            </w:r>
          </w:p>
        </w:tc>
        <w:tc>
          <w:tcPr>
            <w:tcW w:w="0" w:type="auto"/>
            <w:vAlign w:val="center"/>
            <w:hideMark/>
          </w:tcPr>
          <w:p w:rsidR="00DA115B" w:rsidRDefault="00046004">
            <w:r>
              <w:t>38, 6</w:t>
            </w:r>
          </w:p>
        </w:tc>
        <w:tc>
          <w:tcPr>
            <w:tcW w:w="0" w:type="auto"/>
            <w:vAlign w:val="center"/>
            <w:hideMark/>
          </w:tcPr>
          <w:p w:rsidR="00DA115B" w:rsidRDefault="00046004">
            <w:r>
              <w:t>-33</w:t>
            </w:r>
          </w:p>
        </w:tc>
      </w:tr>
      <w:tr w:rsidR="00DA115B">
        <w:trPr>
          <w:tblCellSpacing w:w="0" w:type="dxa"/>
        </w:trPr>
        <w:tc>
          <w:tcPr>
            <w:tcW w:w="0" w:type="auto"/>
            <w:vAlign w:val="center"/>
            <w:hideMark/>
          </w:tcPr>
          <w:p w:rsidR="00DA115B" w:rsidRDefault="00046004">
            <w:r>
              <w:t>2005</w:t>
            </w:r>
          </w:p>
        </w:tc>
        <w:tc>
          <w:tcPr>
            <w:tcW w:w="0" w:type="auto"/>
            <w:vAlign w:val="center"/>
            <w:hideMark/>
          </w:tcPr>
          <w:p w:rsidR="00DA115B" w:rsidRDefault="00046004">
            <w:r>
              <w:t>8414</w:t>
            </w:r>
          </w:p>
        </w:tc>
        <w:tc>
          <w:tcPr>
            <w:tcW w:w="0" w:type="auto"/>
            <w:vAlign w:val="center"/>
            <w:hideMark/>
          </w:tcPr>
          <w:p w:rsidR="00DA115B" w:rsidRDefault="00046004">
            <w:r>
              <w:t>56.95</w:t>
            </w:r>
          </w:p>
        </w:tc>
        <w:tc>
          <w:tcPr>
            <w:tcW w:w="0" w:type="auto"/>
            <w:vAlign w:val="center"/>
            <w:hideMark/>
          </w:tcPr>
          <w:p w:rsidR="00DA115B" w:rsidRDefault="00046004">
            <w:r>
              <w:t>39, 5</w:t>
            </w:r>
          </w:p>
        </w:tc>
        <w:tc>
          <w:tcPr>
            <w:tcW w:w="0" w:type="auto"/>
            <w:vAlign w:val="center"/>
            <w:hideMark/>
          </w:tcPr>
          <w:p w:rsidR="00DA115B" w:rsidRDefault="00046004">
            <w:r>
              <w:t>-220.1611</w:t>
            </w:r>
          </w:p>
        </w:tc>
      </w:tr>
      <w:tr w:rsidR="00DA115B">
        <w:trPr>
          <w:tblCellSpacing w:w="0" w:type="dxa"/>
        </w:trPr>
        <w:tc>
          <w:tcPr>
            <w:tcW w:w="0" w:type="auto"/>
            <w:vAlign w:val="center"/>
            <w:hideMark/>
          </w:tcPr>
          <w:p w:rsidR="00DA115B" w:rsidRDefault="00046004">
            <w:r>
              <w:t>2006</w:t>
            </w:r>
          </w:p>
        </w:tc>
        <w:tc>
          <w:tcPr>
            <w:tcW w:w="0" w:type="auto"/>
            <w:vAlign w:val="center"/>
            <w:hideMark/>
          </w:tcPr>
          <w:p w:rsidR="00DA115B" w:rsidRDefault="00046004">
            <w:r>
              <w:t>10 181</w:t>
            </w:r>
          </w:p>
        </w:tc>
        <w:tc>
          <w:tcPr>
            <w:tcW w:w="0" w:type="auto"/>
            <w:vAlign w:val="center"/>
            <w:hideMark/>
          </w:tcPr>
          <w:p w:rsidR="00DA115B" w:rsidRDefault="00046004">
            <w:r>
              <w:t>57, 12</w:t>
            </w:r>
          </w:p>
        </w:tc>
        <w:tc>
          <w:tcPr>
            <w:tcW w:w="0" w:type="auto"/>
            <w:vAlign w:val="center"/>
            <w:hideMark/>
          </w:tcPr>
          <w:p w:rsidR="00DA115B" w:rsidRDefault="00046004">
            <w:r>
              <w:t>39</w:t>
            </w:r>
          </w:p>
        </w:tc>
        <w:tc>
          <w:tcPr>
            <w:tcW w:w="0" w:type="auto"/>
            <w:vAlign w:val="center"/>
            <w:hideMark/>
          </w:tcPr>
          <w:p w:rsidR="00DA115B" w:rsidRDefault="00046004">
            <w:r>
              <w:t>-152, 3324</w:t>
            </w:r>
          </w:p>
        </w:tc>
      </w:tr>
      <w:tr w:rsidR="00DA115B">
        <w:trPr>
          <w:tblCellSpacing w:w="0" w:type="dxa"/>
        </w:trPr>
        <w:tc>
          <w:tcPr>
            <w:tcW w:w="0" w:type="auto"/>
            <w:vAlign w:val="center"/>
            <w:hideMark/>
          </w:tcPr>
          <w:p w:rsidR="00DA115B" w:rsidRDefault="00046004">
            <w:r>
              <w:t>2007</w:t>
            </w:r>
          </w:p>
        </w:tc>
        <w:tc>
          <w:tcPr>
            <w:tcW w:w="0" w:type="auto"/>
            <w:vAlign w:val="center"/>
            <w:hideMark/>
          </w:tcPr>
          <w:p w:rsidR="00DA115B" w:rsidRDefault="00046004">
            <w:r>
              <w:t>12 046</w:t>
            </w:r>
          </w:p>
        </w:tc>
        <w:tc>
          <w:tcPr>
            <w:tcW w:w="0" w:type="auto"/>
            <w:vAlign w:val="center"/>
            <w:hideMark/>
          </w:tcPr>
          <w:p w:rsidR="00DA115B" w:rsidRDefault="00046004">
            <w:r>
              <w:t>56, 076</w:t>
            </w:r>
          </w:p>
        </w:tc>
        <w:tc>
          <w:tcPr>
            <w:tcW w:w="0" w:type="auto"/>
            <w:vAlign w:val="center"/>
            <w:hideMark/>
          </w:tcPr>
          <w:p w:rsidR="00DA115B" w:rsidRDefault="00046004">
            <w:r>
              <w:t>38, 335</w:t>
            </w:r>
          </w:p>
        </w:tc>
        <w:tc>
          <w:tcPr>
            <w:tcW w:w="0" w:type="auto"/>
            <w:vAlign w:val="center"/>
            <w:hideMark/>
          </w:tcPr>
          <w:p w:rsidR="00DA115B" w:rsidRDefault="00046004">
            <w:r>
              <w:t>-289.7904</w:t>
            </w:r>
          </w:p>
        </w:tc>
      </w:tr>
      <w:tr w:rsidR="00DA115B">
        <w:trPr>
          <w:tblCellSpacing w:w="0" w:type="dxa"/>
        </w:trPr>
        <w:tc>
          <w:tcPr>
            <w:tcW w:w="0" w:type="auto"/>
            <w:vAlign w:val="center"/>
            <w:hideMark/>
          </w:tcPr>
          <w:p w:rsidR="00DA115B" w:rsidRDefault="00046004">
            <w:r>
              <w:t>2008</w:t>
            </w:r>
          </w:p>
        </w:tc>
        <w:tc>
          <w:tcPr>
            <w:tcW w:w="0" w:type="auto"/>
            <w:vAlign w:val="center"/>
            <w:hideMark/>
          </w:tcPr>
          <w:p w:rsidR="00DA115B" w:rsidRDefault="00046004">
            <w:r>
              <w:t>13 866</w:t>
            </w:r>
          </w:p>
        </w:tc>
        <w:tc>
          <w:tcPr>
            <w:tcW w:w="0" w:type="auto"/>
            <w:vAlign w:val="center"/>
            <w:hideMark/>
          </w:tcPr>
          <w:p w:rsidR="00DA115B" w:rsidRDefault="00046004">
            <w:r>
              <w:t>55, 729</w:t>
            </w:r>
          </w:p>
        </w:tc>
        <w:tc>
          <w:tcPr>
            <w:tcW w:w="0" w:type="auto"/>
            <w:vAlign w:val="center"/>
            <w:hideMark/>
          </w:tcPr>
          <w:p w:rsidR="00DA115B" w:rsidRDefault="00046004">
            <w:r>
              <w:t>38, 747</w:t>
            </w:r>
          </w:p>
        </w:tc>
        <w:tc>
          <w:tcPr>
            <w:tcW w:w="0" w:type="auto"/>
            <w:vAlign w:val="center"/>
            <w:hideMark/>
          </w:tcPr>
          <w:p w:rsidR="00DA115B" w:rsidRDefault="00046004">
            <w:r>
              <w:t>-236.3819</w:t>
            </w:r>
          </w:p>
        </w:tc>
      </w:tr>
      <w:tr w:rsidR="00DA115B">
        <w:trPr>
          <w:tblCellSpacing w:w="0" w:type="dxa"/>
        </w:trPr>
        <w:tc>
          <w:tcPr>
            <w:tcW w:w="0" w:type="auto"/>
            <w:vAlign w:val="center"/>
            <w:hideMark/>
          </w:tcPr>
          <w:p w:rsidR="00DA115B" w:rsidRDefault="00046004">
            <w:r>
              <w:t>2009</w:t>
            </w:r>
          </w:p>
        </w:tc>
        <w:tc>
          <w:tcPr>
            <w:tcW w:w="0" w:type="auto"/>
            <w:vAlign w:val="center"/>
            <w:hideMark/>
          </w:tcPr>
          <w:p w:rsidR="00DA115B" w:rsidRDefault="00046004">
            <w:r>
              <w:t>15 245.48</w:t>
            </w:r>
          </w:p>
        </w:tc>
        <w:tc>
          <w:tcPr>
            <w:tcW w:w="0" w:type="auto"/>
            <w:vAlign w:val="center"/>
            <w:hideMark/>
          </w:tcPr>
          <w:p w:rsidR="00DA115B" w:rsidRDefault="00046004">
            <w:r>
              <w:t>55, 384</w:t>
            </w:r>
          </w:p>
        </w:tc>
        <w:tc>
          <w:tcPr>
            <w:tcW w:w="0" w:type="auto"/>
            <w:vAlign w:val="center"/>
            <w:hideMark/>
          </w:tcPr>
          <w:p w:rsidR="00DA115B" w:rsidRDefault="00046004">
            <w:r>
              <w:t>39, 097</w:t>
            </w:r>
          </w:p>
        </w:tc>
        <w:tc>
          <w:tcPr>
            <w:tcW w:w="0" w:type="auto"/>
            <w:vAlign w:val="center"/>
            <w:hideMark/>
          </w:tcPr>
          <w:p w:rsidR="00DA115B" w:rsidRDefault="00046004">
            <w:r>
              <w:t>-230.2493</w:t>
            </w:r>
          </w:p>
        </w:tc>
      </w:tr>
      <w:tr w:rsidR="00DA115B">
        <w:trPr>
          <w:tblCellSpacing w:w="0" w:type="dxa"/>
        </w:trPr>
        <w:tc>
          <w:tcPr>
            <w:tcW w:w="0" w:type="auto"/>
            <w:vAlign w:val="center"/>
            <w:hideMark/>
          </w:tcPr>
          <w:p w:rsidR="00DA115B" w:rsidRDefault="00046004">
            <w:r>
              <w:t>2010</w:t>
            </w:r>
          </w:p>
        </w:tc>
        <w:tc>
          <w:tcPr>
            <w:tcW w:w="0" w:type="auto"/>
            <w:vAlign w:val="center"/>
            <w:hideMark/>
          </w:tcPr>
          <w:p w:rsidR="00DA115B" w:rsidRDefault="00046004">
            <w:r>
              <w:t>16 995, 16</w:t>
            </w:r>
          </w:p>
        </w:tc>
        <w:tc>
          <w:tcPr>
            <w:tcW w:w="0" w:type="auto"/>
            <w:vAlign w:val="center"/>
            <w:hideMark/>
          </w:tcPr>
          <w:p w:rsidR="00DA115B" w:rsidRDefault="00046004">
            <w:r>
              <w:t>55, 034</w:t>
            </w:r>
          </w:p>
        </w:tc>
        <w:tc>
          <w:tcPr>
            <w:tcW w:w="0" w:type="auto"/>
            <w:vAlign w:val="center"/>
            <w:hideMark/>
          </w:tcPr>
          <w:p w:rsidR="00DA115B" w:rsidRDefault="00046004">
            <w:r>
              <w:t>39, 708</w:t>
            </w:r>
          </w:p>
        </w:tc>
        <w:tc>
          <w:tcPr>
            <w:tcW w:w="0" w:type="auto"/>
            <w:vAlign w:val="center"/>
            <w:hideMark/>
          </w:tcPr>
          <w:p w:rsidR="00DA115B" w:rsidRDefault="00046004">
            <w:r>
              <w:t>-203, 518</w:t>
            </w:r>
          </w:p>
        </w:tc>
      </w:tr>
      <w:tr w:rsidR="00DA115B">
        <w:trPr>
          <w:tblCellSpacing w:w="0" w:type="dxa"/>
        </w:trPr>
        <w:tc>
          <w:tcPr>
            <w:tcW w:w="0" w:type="auto"/>
            <w:vAlign w:val="center"/>
            <w:hideMark/>
          </w:tcPr>
          <w:p w:rsidR="00DA115B" w:rsidRDefault="00046004">
            <w:r>
              <w:t>2011</w:t>
            </w:r>
          </w:p>
        </w:tc>
        <w:tc>
          <w:tcPr>
            <w:tcW w:w="0" w:type="auto"/>
            <w:vAlign w:val="center"/>
            <w:hideMark/>
          </w:tcPr>
          <w:p w:rsidR="00DA115B" w:rsidRDefault="00046004">
            <w:r>
              <w:t>18 744, 83</w:t>
            </w:r>
          </w:p>
        </w:tc>
        <w:tc>
          <w:tcPr>
            <w:tcW w:w="0" w:type="auto"/>
            <w:vAlign w:val="center"/>
            <w:hideMark/>
          </w:tcPr>
          <w:p w:rsidR="00DA115B" w:rsidRDefault="00046004">
            <w:r>
              <w:t>54.692</w:t>
            </w:r>
          </w:p>
        </w:tc>
        <w:tc>
          <w:tcPr>
            <w:tcW w:w="0" w:type="auto"/>
            <w:vAlign w:val="center"/>
            <w:hideMark/>
          </w:tcPr>
          <w:p w:rsidR="00DA115B" w:rsidRDefault="00046004">
            <w:r>
              <w:t>40.219</w:t>
            </w:r>
          </w:p>
        </w:tc>
        <w:tc>
          <w:tcPr>
            <w:tcW w:w="0" w:type="auto"/>
            <w:vAlign w:val="center"/>
            <w:hideMark/>
          </w:tcPr>
          <w:p w:rsidR="00DA115B" w:rsidRDefault="00046004">
            <w:r>
              <w:t>-177.6821</w:t>
            </w:r>
          </w:p>
        </w:tc>
      </w:tr>
      <w:tr w:rsidR="00DA115B">
        <w:trPr>
          <w:tblCellSpacing w:w="0" w:type="dxa"/>
        </w:trPr>
        <w:tc>
          <w:tcPr>
            <w:tcW w:w="0" w:type="auto"/>
            <w:vAlign w:val="center"/>
            <w:hideMark/>
          </w:tcPr>
          <w:p w:rsidR="00DA115B" w:rsidRDefault="00046004">
            <w:r>
              <w:t>2012</w:t>
            </w:r>
          </w:p>
        </w:tc>
        <w:tc>
          <w:tcPr>
            <w:tcW w:w="0" w:type="auto"/>
            <w:vAlign w:val="center"/>
            <w:hideMark/>
          </w:tcPr>
          <w:p w:rsidR="00DA115B" w:rsidRDefault="00046004">
            <w:r>
              <w:t>20 494.50</w:t>
            </w:r>
          </w:p>
        </w:tc>
        <w:tc>
          <w:tcPr>
            <w:tcW w:w="0" w:type="auto"/>
            <w:vAlign w:val="center"/>
            <w:hideMark/>
          </w:tcPr>
          <w:p w:rsidR="00DA115B" w:rsidRDefault="00046004">
            <w:r>
              <w:t>54.346</w:t>
            </w:r>
          </w:p>
        </w:tc>
        <w:tc>
          <w:tcPr>
            <w:tcW w:w="0" w:type="auto"/>
            <w:vAlign w:val="center"/>
            <w:hideMark/>
          </w:tcPr>
          <w:p w:rsidR="00DA115B" w:rsidRDefault="00046004">
            <w:r>
              <w:t>40.756</w:t>
            </w:r>
          </w:p>
        </w:tc>
        <w:tc>
          <w:tcPr>
            <w:tcW w:w="0" w:type="auto"/>
            <w:vAlign w:val="center"/>
            <w:hideMark/>
          </w:tcPr>
          <w:p w:rsidR="00DA115B" w:rsidRDefault="00046004">
            <w:r>
              <w:t>-158.9814</w:t>
            </w:r>
          </w:p>
        </w:tc>
      </w:tr>
      <w:tr w:rsidR="00DA115B">
        <w:trPr>
          <w:tblCellSpacing w:w="0" w:type="dxa"/>
        </w:trPr>
        <w:tc>
          <w:tcPr>
            <w:tcW w:w="0" w:type="auto"/>
            <w:vAlign w:val="center"/>
            <w:hideMark/>
          </w:tcPr>
          <w:p w:rsidR="00DA115B" w:rsidRDefault="00046004">
            <w:r>
              <w:t>2013</w:t>
            </w:r>
          </w:p>
        </w:tc>
        <w:tc>
          <w:tcPr>
            <w:tcW w:w="0" w:type="auto"/>
            <w:vAlign w:val="center"/>
            <w:hideMark/>
          </w:tcPr>
          <w:p w:rsidR="00DA115B" w:rsidRDefault="00046004">
            <w:r>
              <w:t>22 244, 18</w:t>
            </w:r>
          </w:p>
        </w:tc>
        <w:tc>
          <w:tcPr>
            <w:tcW w:w="0" w:type="auto"/>
            <w:vAlign w:val="center"/>
            <w:hideMark/>
          </w:tcPr>
          <w:p w:rsidR="00DA115B" w:rsidRDefault="00046004">
            <w:r>
              <w:t>54, 000</w:t>
            </w:r>
          </w:p>
        </w:tc>
        <w:tc>
          <w:tcPr>
            <w:tcW w:w="0" w:type="auto"/>
            <w:vAlign w:val="center"/>
            <w:hideMark/>
          </w:tcPr>
          <w:p w:rsidR="00DA115B" w:rsidRDefault="00046004">
            <w:r>
              <w:t>41, 337</w:t>
            </w:r>
          </w:p>
        </w:tc>
        <w:tc>
          <w:tcPr>
            <w:tcW w:w="0" w:type="auto"/>
            <w:vAlign w:val="center"/>
            <w:hideMark/>
          </w:tcPr>
          <w:p w:rsidR="00DA115B" w:rsidRDefault="00046004">
            <w:r>
              <w:t>-148.059</w:t>
            </w:r>
          </w:p>
        </w:tc>
      </w:tr>
    </w:tbl>
    <w:p w:rsidR="00DA115B" w:rsidRPr="00046004" w:rsidRDefault="00046004">
      <w:pPr>
        <w:pStyle w:val="a3"/>
      </w:pPr>
      <w:r>
        <w:t>Пенсионные системы развитых стран имеют гораздо больше средств в своем резерве в целях своеобразного самострахования. Так, например, правительство Швеции при старте пенсионной реформы имело в резерве семь годовых бюджетов пенсионной системы, причем два из них было израсходовано в первые два года реформы на преимущественно разъяснительную работу. В табл. 2.8 приведены данные динамики исполнения доходной и расходной части, сальдо бюджета Пенсионного фонда России (ПФР).</w:t>
      </w:r>
    </w:p>
    <w:p w:rsidR="00DA115B" w:rsidRDefault="00046004">
      <w:pPr>
        <w:pStyle w:val="a3"/>
      </w:pPr>
      <w:r>
        <w:t>Таблица 2.8. Динамика доходов, расходов и сальдо бюджета Пенсионного фонда России при прежнем уровне ЕСН, млрд руб.</w:t>
      </w:r>
    </w:p>
    <w:p w:rsidR="00DA115B" w:rsidRDefault="00046004">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gridCol w:w="480"/>
      </w:tblGrid>
      <w:tr w:rsidR="00DA115B">
        <w:trPr>
          <w:tblCellSpacing w:w="0" w:type="dxa"/>
        </w:trPr>
        <w:tc>
          <w:tcPr>
            <w:tcW w:w="0" w:type="auto"/>
            <w:vAlign w:val="center"/>
            <w:hideMark/>
          </w:tcPr>
          <w:p w:rsidR="00DA115B" w:rsidRDefault="00046004">
            <w:r>
              <w:t>Годы</w:t>
            </w:r>
          </w:p>
        </w:tc>
        <w:tc>
          <w:tcPr>
            <w:tcW w:w="0" w:type="auto"/>
            <w:vAlign w:val="center"/>
            <w:hideMark/>
          </w:tcPr>
          <w:p w:rsidR="00DA115B" w:rsidRDefault="00046004">
            <w:r>
              <w:t>Доходная масть</w:t>
            </w:r>
          </w:p>
        </w:tc>
        <w:tc>
          <w:tcPr>
            <w:tcW w:w="0" w:type="auto"/>
            <w:vAlign w:val="center"/>
            <w:hideMark/>
          </w:tcPr>
          <w:p w:rsidR="00DA115B" w:rsidRDefault="00046004">
            <w:r>
              <w:t>Расходная часть</w:t>
            </w:r>
          </w:p>
        </w:tc>
        <w:tc>
          <w:tcPr>
            <w:tcW w:w="0" w:type="auto"/>
            <w:vAlign w:val="center"/>
            <w:hideMark/>
          </w:tcPr>
          <w:p w:rsidR="00DA115B" w:rsidRDefault="00046004">
            <w:r>
              <w:t>Сальдо бюджета</w:t>
            </w:r>
          </w:p>
        </w:tc>
      </w:tr>
      <w:tr w:rsidR="00DA115B">
        <w:trPr>
          <w:tblCellSpacing w:w="0" w:type="dxa"/>
        </w:trPr>
        <w:tc>
          <w:tcPr>
            <w:tcW w:w="0" w:type="auto"/>
            <w:vAlign w:val="center"/>
            <w:hideMark/>
          </w:tcPr>
          <w:p w:rsidR="00DA115B" w:rsidRDefault="00046004">
            <w:r>
              <w:t>1998</w:t>
            </w:r>
          </w:p>
        </w:tc>
        <w:tc>
          <w:tcPr>
            <w:tcW w:w="0" w:type="auto"/>
            <w:vAlign w:val="center"/>
            <w:hideMark/>
          </w:tcPr>
          <w:p w:rsidR="00DA115B" w:rsidRDefault="00046004">
            <w:r>
              <w:t>170.02</w:t>
            </w:r>
          </w:p>
        </w:tc>
        <w:tc>
          <w:tcPr>
            <w:tcW w:w="0" w:type="auto"/>
            <w:vAlign w:val="center"/>
            <w:hideMark/>
          </w:tcPr>
          <w:p w:rsidR="00DA115B" w:rsidRDefault="00046004">
            <w:r>
              <w:t>167.02</w:t>
            </w:r>
          </w:p>
        </w:tc>
        <w:tc>
          <w:tcPr>
            <w:tcW w:w="0" w:type="auto"/>
            <w:vAlign w:val="center"/>
            <w:hideMark/>
          </w:tcPr>
          <w:p w:rsidR="00DA115B" w:rsidRDefault="00046004">
            <w:r>
              <w:t>+3.00</w:t>
            </w:r>
          </w:p>
        </w:tc>
      </w:tr>
      <w:tr w:rsidR="00DA115B">
        <w:trPr>
          <w:tblCellSpacing w:w="0" w:type="dxa"/>
        </w:trPr>
        <w:tc>
          <w:tcPr>
            <w:tcW w:w="0" w:type="auto"/>
            <w:vAlign w:val="center"/>
            <w:hideMark/>
          </w:tcPr>
          <w:p w:rsidR="00DA115B" w:rsidRDefault="00046004">
            <w:r>
              <w:t>1999</w:t>
            </w:r>
          </w:p>
        </w:tc>
        <w:tc>
          <w:tcPr>
            <w:tcW w:w="0" w:type="auto"/>
            <w:vAlign w:val="center"/>
            <w:hideMark/>
          </w:tcPr>
          <w:p w:rsidR="00DA115B" w:rsidRDefault="00046004">
            <w:r>
              <w:t>279, 52</w:t>
            </w:r>
          </w:p>
        </w:tc>
        <w:tc>
          <w:tcPr>
            <w:tcW w:w="0" w:type="auto"/>
            <w:vAlign w:val="center"/>
            <w:hideMark/>
          </w:tcPr>
          <w:p w:rsidR="00DA115B" w:rsidRDefault="00046004">
            <w:r>
              <w:t>271.42</w:t>
            </w:r>
          </w:p>
        </w:tc>
        <w:tc>
          <w:tcPr>
            <w:tcW w:w="0" w:type="auto"/>
            <w:vAlign w:val="center"/>
            <w:hideMark/>
          </w:tcPr>
          <w:p w:rsidR="00DA115B" w:rsidRDefault="00046004">
            <w:r>
              <w:t>+8.10</w:t>
            </w:r>
          </w:p>
        </w:tc>
      </w:tr>
      <w:tr w:rsidR="00DA115B">
        <w:trPr>
          <w:tblCellSpacing w:w="0" w:type="dxa"/>
        </w:trPr>
        <w:tc>
          <w:tcPr>
            <w:tcW w:w="0" w:type="auto"/>
            <w:vAlign w:val="center"/>
            <w:hideMark/>
          </w:tcPr>
          <w:p w:rsidR="00DA115B" w:rsidRDefault="00046004">
            <w:r>
              <w:t>2000</w:t>
            </w:r>
          </w:p>
        </w:tc>
        <w:tc>
          <w:tcPr>
            <w:tcW w:w="0" w:type="auto"/>
            <w:vAlign w:val="center"/>
            <w:hideMark/>
          </w:tcPr>
          <w:p w:rsidR="00DA115B" w:rsidRDefault="00046004">
            <w:r>
              <w:t>439.38</w:t>
            </w:r>
          </w:p>
        </w:tc>
        <w:tc>
          <w:tcPr>
            <w:tcW w:w="0" w:type="auto"/>
            <w:vAlign w:val="center"/>
            <w:hideMark/>
          </w:tcPr>
          <w:p w:rsidR="00DA115B" w:rsidRDefault="00046004">
            <w:r>
              <w:t>341.06</w:t>
            </w:r>
          </w:p>
        </w:tc>
        <w:tc>
          <w:tcPr>
            <w:tcW w:w="0" w:type="auto"/>
            <w:vAlign w:val="center"/>
            <w:hideMark/>
          </w:tcPr>
          <w:p w:rsidR="00DA115B" w:rsidRDefault="00046004">
            <w:r>
              <w:t>+98.32</w:t>
            </w:r>
          </w:p>
        </w:tc>
      </w:tr>
      <w:tr w:rsidR="00DA115B">
        <w:trPr>
          <w:tblCellSpacing w:w="0" w:type="dxa"/>
        </w:trPr>
        <w:tc>
          <w:tcPr>
            <w:tcW w:w="0" w:type="auto"/>
            <w:vAlign w:val="center"/>
            <w:hideMark/>
          </w:tcPr>
          <w:p w:rsidR="00DA115B" w:rsidRDefault="00046004">
            <w:r>
              <w:t>2001</w:t>
            </w:r>
          </w:p>
        </w:tc>
        <w:tc>
          <w:tcPr>
            <w:tcW w:w="0" w:type="auto"/>
            <w:vAlign w:val="center"/>
            <w:hideMark/>
          </w:tcPr>
          <w:p w:rsidR="00DA115B" w:rsidRDefault="00046004">
            <w:r>
              <w:t>630.44</w:t>
            </w:r>
          </w:p>
        </w:tc>
        <w:tc>
          <w:tcPr>
            <w:tcW w:w="0" w:type="auto"/>
            <w:vAlign w:val="center"/>
            <w:hideMark/>
          </w:tcPr>
          <w:p w:rsidR="00DA115B" w:rsidRDefault="00046004">
            <w:r>
              <w:t>514.84</w:t>
            </w:r>
          </w:p>
        </w:tc>
        <w:tc>
          <w:tcPr>
            <w:tcW w:w="0" w:type="auto"/>
            <w:vAlign w:val="center"/>
            <w:hideMark/>
          </w:tcPr>
          <w:p w:rsidR="00DA115B" w:rsidRDefault="00046004">
            <w:r>
              <w:t>+115.60</w:t>
            </w:r>
          </w:p>
        </w:tc>
      </w:tr>
      <w:tr w:rsidR="00DA115B">
        <w:trPr>
          <w:tblCellSpacing w:w="0" w:type="dxa"/>
        </w:trPr>
        <w:tc>
          <w:tcPr>
            <w:tcW w:w="0" w:type="auto"/>
            <w:vAlign w:val="center"/>
            <w:hideMark/>
          </w:tcPr>
          <w:p w:rsidR="00DA115B" w:rsidRDefault="00046004">
            <w:r>
              <w:t>2002</w:t>
            </w:r>
          </w:p>
        </w:tc>
        <w:tc>
          <w:tcPr>
            <w:tcW w:w="0" w:type="auto"/>
            <w:vAlign w:val="center"/>
            <w:hideMark/>
          </w:tcPr>
          <w:p w:rsidR="00DA115B" w:rsidRDefault="00046004">
            <w:r>
              <w:t>815, 47</w:t>
            </w:r>
          </w:p>
        </w:tc>
        <w:tc>
          <w:tcPr>
            <w:tcW w:w="0" w:type="auto"/>
            <w:vAlign w:val="center"/>
            <w:hideMark/>
          </w:tcPr>
          <w:p w:rsidR="00DA115B" w:rsidRDefault="00046004">
            <w:r>
              <w:t>804.07</w:t>
            </w:r>
          </w:p>
        </w:tc>
        <w:tc>
          <w:tcPr>
            <w:tcW w:w="0" w:type="auto"/>
            <w:vAlign w:val="center"/>
            <w:hideMark/>
          </w:tcPr>
          <w:p w:rsidR="00DA115B" w:rsidRDefault="00046004">
            <w:r>
              <w:t>+11.40</w:t>
            </w:r>
          </w:p>
        </w:tc>
      </w:tr>
      <w:tr w:rsidR="00DA115B">
        <w:trPr>
          <w:tblCellSpacing w:w="0" w:type="dxa"/>
        </w:trPr>
        <w:tc>
          <w:tcPr>
            <w:tcW w:w="0" w:type="auto"/>
            <w:vAlign w:val="center"/>
            <w:hideMark/>
          </w:tcPr>
          <w:p w:rsidR="00DA115B" w:rsidRDefault="00046004">
            <w:r>
              <w:t>2003</w:t>
            </w:r>
          </w:p>
        </w:tc>
        <w:tc>
          <w:tcPr>
            <w:tcW w:w="0" w:type="auto"/>
            <w:vAlign w:val="center"/>
            <w:hideMark/>
          </w:tcPr>
          <w:p w:rsidR="00DA115B" w:rsidRDefault="00046004">
            <w:r>
              <w:t>876.81</w:t>
            </w:r>
          </w:p>
        </w:tc>
        <w:tc>
          <w:tcPr>
            <w:tcW w:w="0" w:type="auto"/>
            <w:vAlign w:val="center"/>
            <w:hideMark/>
          </w:tcPr>
          <w:p w:rsidR="00DA115B" w:rsidRDefault="00046004">
            <w:r>
              <w:t>779.89</w:t>
            </w:r>
          </w:p>
        </w:tc>
        <w:tc>
          <w:tcPr>
            <w:tcW w:w="0" w:type="auto"/>
            <w:vAlign w:val="center"/>
            <w:hideMark/>
          </w:tcPr>
          <w:p w:rsidR="00DA115B" w:rsidRDefault="00046004">
            <w:r>
              <w:t>+96.92</w:t>
            </w:r>
          </w:p>
        </w:tc>
      </w:tr>
      <w:tr w:rsidR="00DA115B">
        <w:trPr>
          <w:tblCellSpacing w:w="0" w:type="dxa"/>
        </w:trPr>
        <w:tc>
          <w:tcPr>
            <w:tcW w:w="0" w:type="auto"/>
            <w:vAlign w:val="center"/>
            <w:hideMark/>
          </w:tcPr>
          <w:p w:rsidR="00DA115B" w:rsidRDefault="00046004">
            <w:r>
              <w:t>2004</w:t>
            </w:r>
          </w:p>
        </w:tc>
        <w:tc>
          <w:tcPr>
            <w:tcW w:w="0" w:type="auto"/>
            <w:vAlign w:val="center"/>
            <w:hideMark/>
          </w:tcPr>
          <w:p w:rsidR="00DA115B" w:rsidRDefault="00046004">
            <w:r>
              <w:t>1150.00</w:t>
            </w:r>
          </w:p>
        </w:tc>
        <w:tc>
          <w:tcPr>
            <w:tcW w:w="0" w:type="auto"/>
            <w:vAlign w:val="center"/>
            <w:hideMark/>
          </w:tcPr>
          <w:p w:rsidR="00DA115B" w:rsidRDefault="00046004">
            <w:r>
              <w:t>967.60</w:t>
            </w:r>
          </w:p>
        </w:tc>
        <w:tc>
          <w:tcPr>
            <w:tcW w:w="0" w:type="auto"/>
            <w:vAlign w:val="center"/>
            <w:hideMark/>
          </w:tcPr>
          <w:p w:rsidR="00DA115B" w:rsidRDefault="00046004">
            <w:r>
              <w:t>+ 182.40</w:t>
            </w:r>
          </w:p>
        </w:tc>
      </w:tr>
      <w:tr w:rsidR="00DA115B">
        <w:trPr>
          <w:tblCellSpacing w:w="0" w:type="dxa"/>
        </w:trPr>
        <w:tc>
          <w:tcPr>
            <w:tcW w:w="0" w:type="auto"/>
            <w:vAlign w:val="center"/>
            <w:hideMark/>
          </w:tcPr>
          <w:p w:rsidR="00DA115B" w:rsidRDefault="00046004">
            <w:r>
              <w:t>2005</w:t>
            </w:r>
          </w:p>
        </w:tc>
        <w:tc>
          <w:tcPr>
            <w:tcW w:w="0" w:type="auto"/>
            <w:vAlign w:val="center"/>
            <w:hideMark/>
          </w:tcPr>
          <w:p w:rsidR="00DA115B" w:rsidRDefault="00046004">
            <w:r>
              <w:t>1330.78</w:t>
            </w:r>
          </w:p>
        </w:tc>
        <w:tc>
          <w:tcPr>
            <w:tcW w:w="0" w:type="auto"/>
            <w:vAlign w:val="center"/>
            <w:hideMark/>
          </w:tcPr>
          <w:p w:rsidR="00DA115B" w:rsidRDefault="00046004">
            <w:r>
              <w:t>1295, 59</w:t>
            </w:r>
          </w:p>
        </w:tc>
        <w:tc>
          <w:tcPr>
            <w:tcW w:w="0" w:type="auto"/>
            <w:vAlign w:val="center"/>
            <w:hideMark/>
          </w:tcPr>
          <w:p w:rsidR="00DA115B" w:rsidRDefault="00046004">
            <w:r>
              <w:t>+35.19</w:t>
            </w:r>
          </w:p>
        </w:tc>
      </w:tr>
      <w:tr w:rsidR="00DA115B">
        <w:trPr>
          <w:tblCellSpacing w:w="0" w:type="dxa"/>
        </w:trPr>
        <w:tc>
          <w:tcPr>
            <w:tcW w:w="0" w:type="auto"/>
            <w:vAlign w:val="center"/>
            <w:hideMark/>
          </w:tcPr>
          <w:p w:rsidR="00DA115B" w:rsidRDefault="00046004">
            <w:r>
              <w:t>2006</w:t>
            </w:r>
          </w:p>
        </w:tc>
        <w:tc>
          <w:tcPr>
            <w:tcW w:w="0" w:type="auto"/>
            <w:vAlign w:val="center"/>
            <w:hideMark/>
          </w:tcPr>
          <w:p w:rsidR="00DA115B" w:rsidRDefault="00046004">
            <w:r>
              <w:t>1566.44</w:t>
            </w:r>
          </w:p>
        </w:tc>
        <w:tc>
          <w:tcPr>
            <w:tcW w:w="0" w:type="auto"/>
            <w:vAlign w:val="center"/>
            <w:hideMark/>
          </w:tcPr>
          <w:p w:rsidR="00DA115B" w:rsidRDefault="00046004">
            <w:r>
              <w:t>1489.09</w:t>
            </w:r>
          </w:p>
        </w:tc>
        <w:tc>
          <w:tcPr>
            <w:tcW w:w="0" w:type="auto"/>
            <w:vAlign w:val="center"/>
            <w:hideMark/>
          </w:tcPr>
          <w:p w:rsidR="00DA115B" w:rsidRDefault="00046004">
            <w:r>
              <w:t>+77.35</w:t>
            </w:r>
          </w:p>
        </w:tc>
      </w:tr>
      <w:tr w:rsidR="00DA115B">
        <w:trPr>
          <w:tblCellSpacing w:w="0" w:type="dxa"/>
        </w:trPr>
        <w:tc>
          <w:tcPr>
            <w:tcW w:w="0" w:type="auto"/>
            <w:vAlign w:val="center"/>
            <w:hideMark/>
          </w:tcPr>
          <w:p w:rsidR="00DA115B" w:rsidRDefault="00046004">
            <w:r>
              <w:t>2009</w:t>
            </w:r>
          </w:p>
        </w:tc>
        <w:tc>
          <w:tcPr>
            <w:tcW w:w="0" w:type="auto"/>
            <w:vAlign w:val="center"/>
            <w:hideMark/>
          </w:tcPr>
          <w:p w:rsidR="00DA115B" w:rsidRDefault="00046004">
            <w:r>
              <w:t>4102.1</w:t>
            </w:r>
          </w:p>
        </w:tc>
        <w:tc>
          <w:tcPr>
            <w:tcW w:w="0" w:type="auto"/>
            <w:vAlign w:val="center"/>
            <w:hideMark/>
          </w:tcPr>
          <w:p w:rsidR="00DA115B" w:rsidRDefault="00046004">
            <w:r>
              <w:t>3721.4</w:t>
            </w:r>
          </w:p>
        </w:tc>
        <w:tc>
          <w:tcPr>
            <w:tcW w:w="0" w:type="auto"/>
            <w:vAlign w:val="center"/>
            <w:hideMark/>
          </w:tcPr>
          <w:p w:rsidR="00DA115B" w:rsidRDefault="00046004">
            <w:r>
              <w:t>+380.7</w:t>
            </w:r>
          </w:p>
        </w:tc>
      </w:tr>
      <w:tr w:rsidR="00DA115B">
        <w:trPr>
          <w:tblCellSpacing w:w="0" w:type="dxa"/>
        </w:trPr>
        <w:tc>
          <w:tcPr>
            <w:tcW w:w="0" w:type="auto"/>
            <w:vAlign w:val="center"/>
            <w:hideMark/>
          </w:tcPr>
          <w:p w:rsidR="00DA115B" w:rsidRDefault="00046004">
            <w:r>
              <w:t>2010</w:t>
            </w:r>
          </w:p>
        </w:tc>
        <w:tc>
          <w:tcPr>
            <w:tcW w:w="0" w:type="auto"/>
            <w:vAlign w:val="center"/>
            <w:hideMark/>
          </w:tcPr>
          <w:p w:rsidR="00DA115B" w:rsidRDefault="00046004">
            <w:r>
              <w:t>4680.01</w:t>
            </w:r>
          </w:p>
        </w:tc>
        <w:tc>
          <w:tcPr>
            <w:tcW w:w="0" w:type="auto"/>
            <w:vAlign w:val="center"/>
            <w:hideMark/>
          </w:tcPr>
          <w:p w:rsidR="00DA115B" w:rsidRDefault="00046004">
            <w:r>
              <w:t>4398.01</w:t>
            </w:r>
          </w:p>
        </w:tc>
        <w:tc>
          <w:tcPr>
            <w:tcW w:w="0" w:type="auto"/>
            <w:vAlign w:val="center"/>
            <w:hideMark/>
          </w:tcPr>
          <w:p w:rsidR="00DA115B" w:rsidRDefault="00046004">
            <w:r>
              <w:t>+282.0</w:t>
            </w:r>
          </w:p>
        </w:tc>
      </w:tr>
      <w:tr w:rsidR="00DA115B">
        <w:trPr>
          <w:tblCellSpacing w:w="0" w:type="dxa"/>
        </w:trPr>
        <w:tc>
          <w:tcPr>
            <w:tcW w:w="0" w:type="auto"/>
            <w:vAlign w:val="center"/>
            <w:hideMark/>
          </w:tcPr>
          <w:p w:rsidR="00DA115B" w:rsidRDefault="00046004">
            <w:r>
              <w:t>2011</w:t>
            </w:r>
          </w:p>
        </w:tc>
        <w:tc>
          <w:tcPr>
            <w:tcW w:w="0" w:type="auto"/>
            <w:vAlign w:val="center"/>
            <w:hideMark/>
          </w:tcPr>
          <w:p w:rsidR="00DA115B" w:rsidRDefault="00046004">
            <w:r>
              <w:t>5137.38</w:t>
            </w:r>
          </w:p>
        </w:tc>
        <w:tc>
          <w:tcPr>
            <w:tcW w:w="0" w:type="auto"/>
            <w:vAlign w:val="center"/>
            <w:hideMark/>
          </w:tcPr>
          <w:p w:rsidR="00DA115B" w:rsidRDefault="00046004">
            <w:r>
              <w:t>4822.37</w:t>
            </w:r>
          </w:p>
        </w:tc>
        <w:tc>
          <w:tcPr>
            <w:tcW w:w="0" w:type="auto"/>
            <w:vAlign w:val="center"/>
            <w:hideMark/>
          </w:tcPr>
          <w:p w:rsidR="00DA115B" w:rsidRDefault="00046004">
            <w:r>
              <w:t>+315.01</w:t>
            </w:r>
          </w:p>
        </w:tc>
      </w:tr>
      <w:tr w:rsidR="00DA115B">
        <w:trPr>
          <w:tblCellSpacing w:w="0" w:type="dxa"/>
        </w:trPr>
        <w:tc>
          <w:tcPr>
            <w:tcW w:w="0" w:type="auto"/>
            <w:vAlign w:val="center"/>
            <w:hideMark/>
          </w:tcPr>
          <w:p w:rsidR="00DA115B" w:rsidRDefault="00046004">
            <w:r>
              <w:t>2012</w:t>
            </w:r>
          </w:p>
        </w:tc>
        <w:tc>
          <w:tcPr>
            <w:tcW w:w="0" w:type="auto"/>
            <w:vAlign w:val="center"/>
            <w:hideMark/>
          </w:tcPr>
          <w:p w:rsidR="00DA115B" w:rsidRDefault="00046004">
            <w:r>
              <w:t>5654.8</w:t>
            </w:r>
          </w:p>
        </w:tc>
        <w:tc>
          <w:tcPr>
            <w:tcW w:w="0" w:type="auto"/>
            <w:vAlign w:val="center"/>
            <w:hideMark/>
          </w:tcPr>
          <w:p w:rsidR="00DA115B" w:rsidRDefault="00046004">
            <w:r>
              <w:t>5301, 2</w:t>
            </w:r>
          </w:p>
        </w:tc>
        <w:tc>
          <w:tcPr>
            <w:tcW w:w="0" w:type="auto"/>
            <w:vAlign w:val="center"/>
            <w:hideMark/>
          </w:tcPr>
          <w:p w:rsidR="00DA115B" w:rsidRDefault="00046004">
            <w:r>
              <w:t>+353.6</w:t>
            </w:r>
          </w:p>
        </w:tc>
      </w:tr>
      <w:tr w:rsidR="00DA115B">
        <w:trPr>
          <w:tblCellSpacing w:w="0" w:type="dxa"/>
        </w:trPr>
        <w:tc>
          <w:tcPr>
            <w:tcW w:w="0" w:type="auto"/>
            <w:vAlign w:val="center"/>
            <w:hideMark/>
          </w:tcPr>
          <w:p w:rsidR="00DA115B" w:rsidRDefault="00046004">
            <w:r>
              <w:t>2013</w:t>
            </w:r>
          </w:p>
        </w:tc>
        <w:tc>
          <w:tcPr>
            <w:tcW w:w="0" w:type="auto"/>
            <w:vAlign w:val="center"/>
            <w:hideMark/>
          </w:tcPr>
          <w:p w:rsidR="00DA115B" w:rsidRDefault="00046004">
            <w:r>
              <w:t>6254.3</w:t>
            </w:r>
          </w:p>
        </w:tc>
        <w:tc>
          <w:tcPr>
            <w:tcW w:w="0" w:type="auto"/>
            <w:vAlign w:val="center"/>
            <w:hideMark/>
          </w:tcPr>
          <w:p w:rsidR="00DA115B" w:rsidRDefault="00046004">
            <w:r>
              <w:t>5843.2</w:t>
            </w:r>
          </w:p>
        </w:tc>
        <w:tc>
          <w:tcPr>
            <w:tcW w:w="0" w:type="auto"/>
            <w:vAlign w:val="center"/>
            <w:hideMark/>
          </w:tcPr>
          <w:p w:rsidR="00DA115B" w:rsidRDefault="00046004">
            <w:r>
              <w:t>+411.1</w:t>
            </w:r>
          </w:p>
        </w:tc>
      </w:tr>
    </w:tbl>
    <w:p w:rsidR="00DA115B" w:rsidRPr="00046004" w:rsidRDefault="00046004">
      <w:pPr>
        <w:pStyle w:val="a3"/>
      </w:pPr>
      <w:r>
        <w:t>Существующая в России в настоящее время пенсионная система состоит из системы государственных пенсий и системы трудовых пенсий. Государственные пенсии, а также базовая и страховая части трудовой пенсии функционируют по одному и тому же распределительному принципу. Строго говоря, они не относятся к социальному страхованию, поскольку не увязаны со взносами работодателей на каждого конкретного работника. «Нестраховая» структура Пенсионного фонда прослеживается подоле в поступлениях в фонд мсжбюджстных трансфертов.</w:t>
      </w:r>
    </w:p>
    <w:p w:rsidR="00DA115B" w:rsidRDefault="00046004">
      <w:pPr>
        <w:pStyle w:val="a3"/>
      </w:pPr>
      <w:r>
        <w:t>Общемировая тенденция «старения» населения проявляется в увеличении средней продолжительности жизни людей и в уменьшении доли населения в возрасте до 30 лет в связи со снижением темпов прироста населения. Это обусловливает увеличение возраста, в котором в разных странах официально закрепляется право выхода на пенсию. В разных странах этот возраст неодинаков (табл. 2.9).</w:t>
      </w:r>
    </w:p>
    <w:p w:rsidR="00DA115B" w:rsidRDefault="00046004">
      <w:pPr>
        <w:pStyle w:val="a3"/>
      </w:pPr>
      <w:r>
        <w:t>Таблица 2.9. Планируемые изменения в пенсионных системах ряда стран</w:t>
      </w:r>
    </w:p>
    <w:p w:rsidR="00DA115B" w:rsidRDefault="00046004">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240"/>
        <w:gridCol w:w="240"/>
        <w:gridCol w:w="480"/>
        <w:gridCol w:w="480"/>
        <w:gridCol w:w="480"/>
      </w:tblGrid>
      <w:tr w:rsidR="00DA115B">
        <w:trPr>
          <w:tblCellSpacing w:w="0" w:type="dxa"/>
        </w:trPr>
        <w:tc>
          <w:tcPr>
            <w:tcW w:w="0" w:type="auto"/>
            <w:vMerge w:val="restart"/>
            <w:vAlign w:val="center"/>
            <w:hideMark/>
          </w:tcPr>
          <w:p w:rsidR="00DA115B" w:rsidRDefault="00046004">
            <w:r>
              <w:t>Страна</w:t>
            </w:r>
          </w:p>
        </w:tc>
        <w:tc>
          <w:tcPr>
            <w:tcW w:w="0" w:type="auto"/>
            <w:gridSpan w:val="2"/>
            <w:vAlign w:val="center"/>
            <w:hideMark/>
          </w:tcPr>
          <w:p w:rsidR="00DA115B" w:rsidRDefault="00046004">
            <w:r>
              <w:t>Предполагаемая средняя продолжительность жизни, лет</w:t>
            </w:r>
          </w:p>
        </w:tc>
        <w:tc>
          <w:tcPr>
            <w:tcW w:w="0" w:type="auto"/>
            <w:gridSpan w:val="2"/>
            <w:vAlign w:val="center"/>
            <w:hideMark/>
          </w:tcPr>
          <w:p w:rsidR="00DA115B" w:rsidRDefault="00046004">
            <w:r>
              <w:t>Выход на пенсию в 2010 г. в возрасте, лет</w:t>
            </w:r>
          </w:p>
        </w:tc>
        <w:tc>
          <w:tcPr>
            <w:tcW w:w="0" w:type="auto"/>
            <w:vMerge w:val="restart"/>
            <w:vAlign w:val="center"/>
            <w:hideMark/>
          </w:tcPr>
          <w:p w:rsidR="00DA115B" w:rsidRDefault="00046004">
            <w:r>
              <w:t>Намечаемые изменения</w:t>
            </w:r>
          </w:p>
        </w:tc>
      </w:tr>
      <w:tr w:rsidR="00DA115B">
        <w:trPr>
          <w:tblCellSpacing w:w="0" w:type="dxa"/>
        </w:trPr>
        <w:tc>
          <w:tcPr>
            <w:tcW w:w="0" w:type="auto"/>
            <w:vMerge/>
            <w:vAlign w:val="center"/>
            <w:hideMark/>
          </w:tcPr>
          <w:p w:rsidR="00DA115B" w:rsidRDefault="00DA115B"/>
        </w:tc>
        <w:tc>
          <w:tcPr>
            <w:tcW w:w="0" w:type="auto"/>
            <w:vAlign w:val="center"/>
            <w:hideMark/>
          </w:tcPr>
          <w:p w:rsidR="00DA115B" w:rsidRDefault="00046004">
            <w:r>
              <w:t>мужчины</w:t>
            </w:r>
          </w:p>
        </w:tc>
        <w:tc>
          <w:tcPr>
            <w:tcW w:w="0" w:type="auto"/>
            <w:vAlign w:val="center"/>
            <w:hideMark/>
          </w:tcPr>
          <w:p w:rsidR="00DA115B" w:rsidRDefault="00046004">
            <w:r>
              <w:t>женщины</w:t>
            </w:r>
          </w:p>
        </w:tc>
        <w:tc>
          <w:tcPr>
            <w:tcW w:w="0" w:type="auto"/>
            <w:vAlign w:val="center"/>
            <w:hideMark/>
          </w:tcPr>
          <w:p w:rsidR="00DA115B" w:rsidRDefault="00046004">
            <w:r>
              <w:t>мужчины</w:t>
            </w:r>
          </w:p>
        </w:tc>
        <w:tc>
          <w:tcPr>
            <w:tcW w:w="0" w:type="auto"/>
            <w:vAlign w:val="center"/>
            <w:hideMark/>
          </w:tcPr>
          <w:p w:rsidR="00DA115B" w:rsidRDefault="00046004">
            <w:r>
              <w:t>женщины</w:t>
            </w:r>
          </w:p>
        </w:tc>
        <w:tc>
          <w:tcPr>
            <w:tcW w:w="0" w:type="auto"/>
            <w:vMerge/>
            <w:vAlign w:val="center"/>
            <w:hideMark/>
          </w:tcPr>
          <w:p w:rsidR="00DA115B" w:rsidRDefault="00DA115B"/>
        </w:tc>
      </w:tr>
      <w:tr w:rsidR="00DA115B">
        <w:trPr>
          <w:tblCellSpacing w:w="0" w:type="dxa"/>
        </w:trPr>
        <w:tc>
          <w:tcPr>
            <w:tcW w:w="0" w:type="auto"/>
            <w:vAlign w:val="center"/>
            <w:hideMark/>
          </w:tcPr>
          <w:p w:rsidR="00DA115B" w:rsidRDefault="00046004">
            <w:r>
              <w:t>США</w:t>
            </w:r>
          </w:p>
        </w:tc>
        <w:tc>
          <w:tcPr>
            <w:tcW w:w="0" w:type="auto"/>
            <w:vAlign w:val="center"/>
            <w:hideMark/>
          </w:tcPr>
          <w:p w:rsidR="00DA115B" w:rsidRDefault="00046004">
            <w:r>
              <w:t>75</w:t>
            </w:r>
          </w:p>
        </w:tc>
        <w:tc>
          <w:tcPr>
            <w:tcW w:w="0" w:type="auto"/>
            <w:vAlign w:val="center"/>
            <w:hideMark/>
          </w:tcPr>
          <w:p w:rsidR="00DA115B" w:rsidRDefault="00046004">
            <w:r>
              <w:t>80</w:t>
            </w:r>
          </w:p>
        </w:tc>
        <w:tc>
          <w:tcPr>
            <w:tcW w:w="0" w:type="auto"/>
            <w:vAlign w:val="center"/>
            <w:hideMark/>
          </w:tcPr>
          <w:p w:rsidR="00DA115B" w:rsidRDefault="00046004">
            <w:r>
              <w:t>65</w:t>
            </w:r>
          </w:p>
        </w:tc>
        <w:tc>
          <w:tcPr>
            <w:tcW w:w="0" w:type="auto"/>
            <w:vAlign w:val="center"/>
            <w:hideMark/>
          </w:tcPr>
          <w:p w:rsidR="00DA115B" w:rsidRDefault="00046004">
            <w:r>
              <w:t>65</w:t>
            </w:r>
          </w:p>
        </w:tc>
        <w:tc>
          <w:tcPr>
            <w:tcW w:w="0" w:type="auto"/>
            <w:vAlign w:val="center"/>
            <w:hideMark/>
          </w:tcPr>
          <w:p w:rsidR="00DA115B" w:rsidRPr="00046004" w:rsidRDefault="00046004">
            <w:pPr>
              <w:pStyle w:val="a3"/>
            </w:pPr>
            <w:r w:rsidRPr="00046004">
              <w:t>Не</w:t>
            </w:r>
          </w:p>
          <w:p w:rsidR="00DA115B" w:rsidRPr="00046004" w:rsidRDefault="00046004">
            <w:pPr>
              <w:pStyle w:val="a3"/>
            </w:pPr>
            <w:r w:rsidRPr="00046004">
              <w:t>планируется</w:t>
            </w:r>
          </w:p>
        </w:tc>
      </w:tr>
      <w:tr w:rsidR="00DA115B">
        <w:trPr>
          <w:tblCellSpacing w:w="0" w:type="dxa"/>
        </w:trPr>
        <w:tc>
          <w:tcPr>
            <w:tcW w:w="0" w:type="auto"/>
            <w:vAlign w:val="center"/>
            <w:hideMark/>
          </w:tcPr>
          <w:p w:rsidR="00DA115B" w:rsidRDefault="00046004">
            <w:r>
              <w:t>Япония</w:t>
            </w:r>
          </w:p>
        </w:tc>
        <w:tc>
          <w:tcPr>
            <w:tcW w:w="0" w:type="auto"/>
            <w:vAlign w:val="center"/>
            <w:hideMark/>
          </w:tcPr>
          <w:p w:rsidR="00DA115B" w:rsidRDefault="00046004">
            <w:r>
              <w:t>79</w:t>
            </w:r>
          </w:p>
        </w:tc>
        <w:tc>
          <w:tcPr>
            <w:tcW w:w="0" w:type="auto"/>
            <w:vAlign w:val="center"/>
            <w:hideMark/>
          </w:tcPr>
          <w:p w:rsidR="00DA115B" w:rsidRDefault="00046004">
            <w:r>
              <w:t>86</w:t>
            </w:r>
          </w:p>
        </w:tc>
        <w:tc>
          <w:tcPr>
            <w:tcW w:w="0" w:type="auto"/>
            <w:vAlign w:val="center"/>
            <w:hideMark/>
          </w:tcPr>
          <w:p w:rsidR="00DA115B" w:rsidRDefault="00046004">
            <w:r>
              <w:t>70</w:t>
            </w:r>
          </w:p>
        </w:tc>
        <w:tc>
          <w:tcPr>
            <w:tcW w:w="0" w:type="auto"/>
            <w:vAlign w:val="center"/>
            <w:hideMark/>
          </w:tcPr>
          <w:p w:rsidR="00DA115B" w:rsidRDefault="00046004">
            <w:r>
              <w:t>70</w:t>
            </w:r>
          </w:p>
        </w:tc>
        <w:tc>
          <w:tcPr>
            <w:tcW w:w="0" w:type="auto"/>
            <w:vAlign w:val="center"/>
            <w:hideMark/>
          </w:tcPr>
          <w:p w:rsidR="00DA115B" w:rsidRPr="00046004" w:rsidRDefault="00046004">
            <w:pPr>
              <w:pStyle w:val="a3"/>
            </w:pPr>
            <w:r w:rsidRPr="00046004">
              <w:t>Не</w:t>
            </w:r>
          </w:p>
          <w:p w:rsidR="00DA115B" w:rsidRPr="00046004" w:rsidRDefault="00046004">
            <w:pPr>
              <w:pStyle w:val="a3"/>
            </w:pPr>
            <w:r w:rsidRPr="00046004">
              <w:t>планируется</w:t>
            </w:r>
          </w:p>
        </w:tc>
      </w:tr>
      <w:tr w:rsidR="00DA115B">
        <w:trPr>
          <w:tblCellSpacing w:w="0" w:type="dxa"/>
        </w:trPr>
        <w:tc>
          <w:tcPr>
            <w:tcW w:w="0" w:type="auto"/>
            <w:vAlign w:val="center"/>
            <w:hideMark/>
          </w:tcPr>
          <w:p w:rsidR="00DA115B" w:rsidRDefault="00046004">
            <w:r>
              <w:t>Франция</w:t>
            </w:r>
          </w:p>
        </w:tc>
        <w:tc>
          <w:tcPr>
            <w:tcW w:w="0" w:type="auto"/>
            <w:vAlign w:val="center"/>
            <w:hideMark/>
          </w:tcPr>
          <w:p w:rsidR="00DA115B" w:rsidRDefault="00046004">
            <w:r>
              <w:t>77</w:t>
            </w:r>
          </w:p>
        </w:tc>
        <w:tc>
          <w:tcPr>
            <w:tcW w:w="0" w:type="auto"/>
            <w:vAlign w:val="center"/>
            <w:hideMark/>
          </w:tcPr>
          <w:p w:rsidR="00DA115B" w:rsidRDefault="00046004">
            <w:r>
              <w:t>84</w:t>
            </w:r>
          </w:p>
        </w:tc>
        <w:tc>
          <w:tcPr>
            <w:tcW w:w="0" w:type="auto"/>
            <w:vAlign w:val="center"/>
            <w:hideMark/>
          </w:tcPr>
          <w:p w:rsidR="00DA115B" w:rsidRDefault="00046004">
            <w:r>
              <w:t>60</w:t>
            </w:r>
          </w:p>
        </w:tc>
        <w:tc>
          <w:tcPr>
            <w:tcW w:w="0" w:type="auto"/>
            <w:vAlign w:val="center"/>
            <w:hideMark/>
          </w:tcPr>
          <w:p w:rsidR="00DA115B" w:rsidRDefault="00046004">
            <w:r>
              <w:t>60</w:t>
            </w:r>
          </w:p>
        </w:tc>
        <w:tc>
          <w:tcPr>
            <w:tcW w:w="0" w:type="auto"/>
            <w:vAlign w:val="center"/>
            <w:hideMark/>
          </w:tcPr>
          <w:p w:rsidR="00DA115B" w:rsidRDefault="00046004">
            <w:r>
              <w:t>62 года (2018 г.)</w:t>
            </w:r>
          </w:p>
        </w:tc>
      </w:tr>
      <w:tr w:rsidR="00DA115B">
        <w:trPr>
          <w:tblCellSpacing w:w="0" w:type="dxa"/>
        </w:trPr>
        <w:tc>
          <w:tcPr>
            <w:tcW w:w="0" w:type="auto"/>
            <w:vAlign w:val="center"/>
            <w:hideMark/>
          </w:tcPr>
          <w:p w:rsidR="00DA115B" w:rsidRDefault="00046004">
            <w:r>
              <w:t>Испания</w:t>
            </w:r>
          </w:p>
        </w:tc>
        <w:tc>
          <w:tcPr>
            <w:tcW w:w="0" w:type="auto"/>
            <w:vAlign w:val="center"/>
            <w:hideMark/>
          </w:tcPr>
          <w:p w:rsidR="00DA115B" w:rsidRDefault="00046004">
            <w:r>
              <w:t>78</w:t>
            </w:r>
          </w:p>
        </w:tc>
        <w:tc>
          <w:tcPr>
            <w:tcW w:w="0" w:type="auto"/>
            <w:vAlign w:val="center"/>
            <w:hideMark/>
          </w:tcPr>
          <w:p w:rsidR="00DA115B" w:rsidRDefault="00046004">
            <w:r>
              <w:t>84</w:t>
            </w:r>
          </w:p>
        </w:tc>
        <w:tc>
          <w:tcPr>
            <w:tcW w:w="0" w:type="auto"/>
            <w:vAlign w:val="center"/>
            <w:hideMark/>
          </w:tcPr>
          <w:p w:rsidR="00DA115B" w:rsidRDefault="00046004">
            <w:r>
              <w:t>65</w:t>
            </w:r>
          </w:p>
        </w:tc>
        <w:tc>
          <w:tcPr>
            <w:tcW w:w="0" w:type="auto"/>
            <w:vAlign w:val="center"/>
            <w:hideMark/>
          </w:tcPr>
          <w:p w:rsidR="00DA115B" w:rsidRDefault="00046004">
            <w:r>
              <w:t>65</w:t>
            </w:r>
          </w:p>
        </w:tc>
        <w:tc>
          <w:tcPr>
            <w:tcW w:w="0" w:type="auto"/>
            <w:vAlign w:val="center"/>
            <w:hideMark/>
          </w:tcPr>
          <w:p w:rsidR="00DA115B" w:rsidRDefault="00046004">
            <w:r>
              <w:t>67 лет</w:t>
            </w:r>
          </w:p>
        </w:tc>
      </w:tr>
      <w:tr w:rsidR="00DA115B">
        <w:trPr>
          <w:tblCellSpacing w:w="0" w:type="dxa"/>
        </w:trPr>
        <w:tc>
          <w:tcPr>
            <w:tcW w:w="0" w:type="auto"/>
            <w:vAlign w:val="center"/>
            <w:hideMark/>
          </w:tcPr>
          <w:p w:rsidR="00DA115B" w:rsidRDefault="00046004">
            <w:r>
              <w:t>Германия</w:t>
            </w:r>
          </w:p>
        </w:tc>
        <w:tc>
          <w:tcPr>
            <w:tcW w:w="0" w:type="auto"/>
            <w:vAlign w:val="center"/>
            <w:hideMark/>
          </w:tcPr>
          <w:p w:rsidR="00DA115B" w:rsidRDefault="00046004">
            <w:r>
              <w:t>77</w:t>
            </w:r>
          </w:p>
        </w:tc>
        <w:tc>
          <w:tcPr>
            <w:tcW w:w="0" w:type="auto"/>
            <w:vAlign w:val="center"/>
            <w:hideMark/>
          </w:tcPr>
          <w:p w:rsidR="00DA115B" w:rsidRDefault="00046004">
            <w:r>
              <w:t>82</w:t>
            </w:r>
          </w:p>
        </w:tc>
        <w:tc>
          <w:tcPr>
            <w:tcW w:w="0" w:type="auto"/>
            <w:vAlign w:val="center"/>
            <w:hideMark/>
          </w:tcPr>
          <w:p w:rsidR="00DA115B" w:rsidRDefault="00046004">
            <w:r>
              <w:t>65</w:t>
            </w:r>
          </w:p>
        </w:tc>
        <w:tc>
          <w:tcPr>
            <w:tcW w:w="0" w:type="auto"/>
            <w:vAlign w:val="center"/>
            <w:hideMark/>
          </w:tcPr>
          <w:p w:rsidR="00DA115B" w:rsidRDefault="00046004">
            <w:r>
              <w:t>65</w:t>
            </w:r>
          </w:p>
        </w:tc>
        <w:tc>
          <w:tcPr>
            <w:tcW w:w="0" w:type="auto"/>
            <w:vAlign w:val="center"/>
            <w:hideMark/>
          </w:tcPr>
          <w:p w:rsidR="00DA115B" w:rsidRDefault="00046004">
            <w:r>
              <w:t>67 лет (к 2029 г.)</w:t>
            </w:r>
          </w:p>
        </w:tc>
      </w:tr>
    </w:tbl>
    <w:p w:rsidR="00DA115B" w:rsidRPr="00046004" w:rsidRDefault="00046004">
      <w:pPr>
        <w:pStyle w:val="a3"/>
      </w:pPr>
      <w:r>
        <w:t>Источник: Гладышева Е. В Европе поднимут пенсионный возраст// Российская газета. 2010. 9 июля.</w:t>
      </w:r>
    </w:p>
    <w:p w:rsidR="00DA115B" w:rsidRDefault="00046004">
      <w:pPr>
        <w:pStyle w:val="a3"/>
      </w:pPr>
      <w:r>
        <w:t>В ряде стран механизмы корректировки пенсионных систем в расчете на увеличение пенсионного возраста уже запушены. Несмотря на протесты национальных профсоюзов, правительства Германии, Греции, Италии, Франции объявили о предполагаемом увеличении пенсионного возраста. Еврокомиссией подготовлен специальный документ («Зеленая книга»), в котором действия правительств стран ЕС по регулированию пенсионных систем считаются приемлемыми. В 2010 г. было проведено публичное обсуждение возможных изменений.</w:t>
      </w:r>
    </w:p>
    <w:p w:rsidR="00DA115B" w:rsidRDefault="00046004">
      <w:pPr>
        <w:pStyle w:val="a3"/>
      </w:pPr>
      <w:r>
        <w:t>В России в 90-е годы предлагалось увеличение пенсионного возраста до 65 лет. Однако в связи с тем, что средний возраст мужчин был меньше 60 лет, это предложение сочли преждевременным. Однако летом 2010 г. вслед за обсуждением «Зеленой книги» в странах ЕС Минфин России сообщило о проведении им соответствующих расчетов, ориентированных на увеличение пенсионного возрастало 62, 5 лете 2015 г. Увеличение пенсионного возраста, разумеется, не исключено. Как показал опыт Франции, граждане выступают против таких мер. Именно поэтому в России аналогичное предложение органы власти не решаются реализовать. Подобная мера должна быть органически увязана со средней продолжительностью жизни. Недопустимо увеличивать пенсионный возраст сверх средней продолжительности жизни. При растущем пенсионном дефиците (табл. 2.10) возможна реорганизация системы пенсионного страхования и обеспечения.</w:t>
      </w:r>
    </w:p>
    <w:p w:rsidR="00DA115B" w:rsidRDefault="00046004">
      <w:pPr>
        <w:pStyle w:val="a3"/>
      </w:pPr>
      <w:r>
        <w:t>Таблица 2.10. Среднегодовой пенсионный дефицит в расчете на одного человека в 2010 г., тыс. евро</w:t>
      </w:r>
    </w:p>
    <w:p w:rsidR="00DA115B" w:rsidRDefault="00046004">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160"/>
        <w:gridCol w:w="160"/>
        <w:gridCol w:w="160"/>
      </w:tblGrid>
      <w:tr w:rsidR="00DA115B">
        <w:trPr>
          <w:tblCellSpacing w:w="0" w:type="dxa"/>
        </w:trPr>
        <w:tc>
          <w:tcPr>
            <w:tcW w:w="0" w:type="auto"/>
            <w:vMerge w:val="restart"/>
            <w:vAlign w:val="center"/>
            <w:hideMark/>
          </w:tcPr>
          <w:p w:rsidR="00DA115B" w:rsidRDefault="00046004">
            <w:r>
              <w:t>Страна</w:t>
            </w:r>
          </w:p>
        </w:tc>
        <w:tc>
          <w:tcPr>
            <w:tcW w:w="0" w:type="auto"/>
            <w:vMerge w:val="restart"/>
            <w:vAlign w:val="center"/>
            <w:hideMark/>
          </w:tcPr>
          <w:p w:rsidR="00DA115B" w:rsidRDefault="00046004">
            <w:r>
              <w:t>Среднее значение</w:t>
            </w:r>
          </w:p>
        </w:tc>
        <w:tc>
          <w:tcPr>
            <w:tcW w:w="0" w:type="auto"/>
            <w:gridSpan w:val="3"/>
            <w:vAlign w:val="center"/>
            <w:hideMark/>
          </w:tcPr>
          <w:p w:rsidR="00DA115B" w:rsidRDefault="00046004">
            <w:r>
              <w:t>Граждане в возрасте</w:t>
            </w:r>
          </w:p>
        </w:tc>
      </w:tr>
      <w:tr w:rsidR="00DA115B">
        <w:trPr>
          <w:tblCellSpacing w:w="0" w:type="dxa"/>
        </w:trPr>
        <w:tc>
          <w:tcPr>
            <w:tcW w:w="0" w:type="auto"/>
            <w:vMerge/>
            <w:vAlign w:val="center"/>
            <w:hideMark/>
          </w:tcPr>
          <w:p w:rsidR="00DA115B" w:rsidRDefault="00DA115B"/>
        </w:tc>
        <w:tc>
          <w:tcPr>
            <w:tcW w:w="0" w:type="auto"/>
            <w:vMerge/>
            <w:vAlign w:val="center"/>
            <w:hideMark/>
          </w:tcPr>
          <w:p w:rsidR="00DA115B" w:rsidRDefault="00DA115B"/>
        </w:tc>
        <w:tc>
          <w:tcPr>
            <w:tcW w:w="0" w:type="auto"/>
            <w:vAlign w:val="center"/>
            <w:hideMark/>
          </w:tcPr>
          <w:p w:rsidR="00DA115B" w:rsidRDefault="00046004">
            <w:r>
              <w:t>20 лет</w:t>
            </w:r>
          </w:p>
        </w:tc>
        <w:tc>
          <w:tcPr>
            <w:tcW w:w="0" w:type="auto"/>
            <w:vAlign w:val="center"/>
            <w:hideMark/>
          </w:tcPr>
          <w:p w:rsidR="00DA115B" w:rsidRDefault="00046004">
            <w:r>
              <w:t>40 лет</w:t>
            </w:r>
          </w:p>
        </w:tc>
        <w:tc>
          <w:tcPr>
            <w:tcW w:w="0" w:type="auto"/>
            <w:vAlign w:val="center"/>
            <w:hideMark/>
          </w:tcPr>
          <w:p w:rsidR="00DA115B" w:rsidRDefault="00046004">
            <w:r>
              <w:t>60 лет</w:t>
            </w:r>
          </w:p>
        </w:tc>
      </w:tr>
      <w:tr w:rsidR="00DA115B">
        <w:trPr>
          <w:tblCellSpacing w:w="0" w:type="dxa"/>
        </w:trPr>
        <w:tc>
          <w:tcPr>
            <w:tcW w:w="0" w:type="auto"/>
            <w:vAlign w:val="center"/>
            <w:hideMark/>
          </w:tcPr>
          <w:p w:rsidR="00DA115B" w:rsidRDefault="00046004">
            <w:r>
              <w:t>Венгрия</w:t>
            </w:r>
          </w:p>
        </w:tc>
        <w:tc>
          <w:tcPr>
            <w:tcW w:w="0" w:type="auto"/>
            <w:vAlign w:val="center"/>
            <w:hideMark/>
          </w:tcPr>
          <w:p w:rsidR="00DA115B" w:rsidRDefault="00046004">
            <w:r>
              <w:t>1.9</w:t>
            </w:r>
          </w:p>
        </w:tc>
        <w:tc>
          <w:tcPr>
            <w:tcW w:w="0" w:type="auto"/>
            <w:vAlign w:val="center"/>
            <w:hideMark/>
          </w:tcPr>
          <w:p w:rsidR="00DA115B" w:rsidRDefault="00046004">
            <w:r>
              <w:t>0.8</w:t>
            </w:r>
          </w:p>
        </w:tc>
        <w:tc>
          <w:tcPr>
            <w:tcW w:w="0" w:type="auto"/>
            <w:vAlign w:val="center"/>
            <w:hideMark/>
          </w:tcPr>
          <w:p w:rsidR="00DA115B" w:rsidRDefault="00046004">
            <w:r>
              <w:t>1.4</w:t>
            </w:r>
          </w:p>
        </w:tc>
        <w:tc>
          <w:tcPr>
            <w:tcW w:w="0" w:type="auto"/>
            <w:vAlign w:val="center"/>
            <w:hideMark/>
          </w:tcPr>
          <w:p w:rsidR="00DA115B" w:rsidRDefault="00046004">
            <w:r>
              <w:t>1.6</w:t>
            </w:r>
          </w:p>
        </w:tc>
      </w:tr>
      <w:tr w:rsidR="00DA115B">
        <w:trPr>
          <w:tblCellSpacing w:w="0" w:type="dxa"/>
        </w:trPr>
        <w:tc>
          <w:tcPr>
            <w:tcW w:w="0" w:type="auto"/>
            <w:vAlign w:val="center"/>
            <w:hideMark/>
          </w:tcPr>
          <w:p w:rsidR="00DA115B" w:rsidRDefault="00046004">
            <w:r>
              <w:t>Турция</w:t>
            </w:r>
          </w:p>
        </w:tc>
        <w:tc>
          <w:tcPr>
            <w:tcW w:w="0" w:type="auto"/>
            <w:vAlign w:val="center"/>
            <w:hideMark/>
          </w:tcPr>
          <w:p w:rsidR="00DA115B" w:rsidRDefault="00046004">
            <w:r>
              <w:t>2, 4</w:t>
            </w:r>
          </w:p>
        </w:tc>
        <w:tc>
          <w:tcPr>
            <w:tcW w:w="0" w:type="auto"/>
            <w:vAlign w:val="center"/>
            <w:hideMark/>
          </w:tcPr>
          <w:p w:rsidR="00DA115B" w:rsidRDefault="00046004">
            <w:r>
              <w:t>0, 5</w:t>
            </w:r>
          </w:p>
        </w:tc>
        <w:tc>
          <w:tcPr>
            <w:tcW w:w="0" w:type="auto"/>
            <w:vAlign w:val="center"/>
            <w:hideMark/>
          </w:tcPr>
          <w:p w:rsidR="00DA115B" w:rsidRDefault="00046004">
            <w:r>
              <w:t>1.5</w:t>
            </w:r>
          </w:p>
        </w:tc>
        <w:tc>
          <w:tcPr>
            <w:tcW w:w="0" w:type="auto"/>
            <w:vAlign w:val="center"/>
            <w:hideMark/>
          </w:tcPr>
          <w:p w:rsidR="00DA115B" w:rsidRDefault="00046004">
            <w:r>
              <w:t>3.2</w:t>
            </w:r>
          </w:p>
        </w:tc>
      </w:tr>
      <w:tr w:rsidR="00DA115B">
        <w:trPr>
          <w:tblCellSpacing w:w="0" w:type="dxa"/>
        </w:trPr>
        <w:tc>
          <w:tcPr>
            <w:tcW w:w="0" w:type="auto"/>
            <w:vAlign w:val="center"/>
            <w:hideMark/>
          </w:tcPr>
          <w:p w:rsidR="00DA115B" w:rsidRDefault="00046004">
            <w:r>
              <w:t>Литва</w:t>
            </w:r>
          </w:p>
        </w:tc>
        <w:tc>
          <w:tcPr>
            <w:tcW w:w="0" w:type="auto"/>
            <w:vAlign w:val="center"/>
            <w:hideMark/>
          </w:tcPr>
          <w:p w:rsidR="00DA115B" w:rsidRDefault="00046004">
            <w:r>
              <w:t>3, 0</w:t>
            </w:r>
          </w:p>
        </w:tc>
        <w:tc>
          <w:tcPr>
            <w:tcW w:w="0" w:type="auto"/>
            <w:vAlign w:val="center"/>
            <w:hideMark/>
          </w:tcPr>
          <w:p w:rsidR="00DA115B" w:rsidRDefault="00046004">
            <w:r>
              <w:t>0, 8</w:t>
            </w:r>
          </w:p>
        </w:tc>
        <w:tc>
          <w:tcPr>
            <w:tcW w:w="0" w:type="auto"/>
            <w:vAlign w:val="center"/>
            <w:hideMark/>
          </w:tcPr>
          <w:p w:rsidR="00DA115B" w:rsidRDefault="00046004">
            <w:r>
              <w:t>2.1</w:t>
            </w:r>
          </w:p>
        </w:tc>
        <w:tc>
          <w:tcPr>
            <w:tcW w:w="0" w:type="auto"/>
            <w:vAlign w:val="center"/>
            <w:hideMark/>
          </w:tcPr>
          <w:p w:rsidR="00DA115B" w:rsidRDefault="00046004">
            <w:r>
              <w:t>3.6</w:t>
            </w:r>
          </w:p>
        </w:tc>
      </w:tr>
      <w:tr w:rsidR="00DA115B">
        <w:trPr>
          <w:tblCellSpacing w:w="0" w:type="dxa"/>
        </w:trPr>
        <w:tc>
          <w:tcPr>
            <w:tcW w:w="0" w:type="auto"/>
            <w:vAlign w:val="center"/>
            <w:hideMark/>
          </w:tcPr>
          <w:p w:rsidR="00DA115B" w:rsidRDefault="00046004">
            <w:r>
              <w:t>Италия</w:t>
            </w:r>
          </w:p>
        </w:tc>
        <w:tc>
          <w:tcPr>
            <w:tcW w:w="0" w:type="auto"/>
            <w:vAlign w:val="center"/>
            <w:hideMark/>
          </w:tcPr>
          <w:p w:rsidR="00DA115B" w:rsidRDefault="00046004">
            <w:r>
              <w:t>3.1</w:t>
            </w:r>
          </w:p>
        </w:tc>
        <w:tc>
          <w:tcPr>
            <w:tcW w:w="0" w:type="auto"/>
            <w:vAlign w:val="center"/>
            <w:hideMark/>
          </w:tcPr>
          <w:p w:rsidR="00DA115B" w:rsidRDefault="00046004">
            <w:r>
              <w:t>0.6</w:t>
            </w:r>
          </w:p>
        </w:tc>
        <w:tc>
          <w:tcPr>
            <w:tcW w:w="0" w:type="auto"/>
            <w:vAlign w:val="center"/>
            <w:hideMark/>
          </w:tcPr>
          <w:p w:rsidR="00DA115B" w:rsidRDefault="00046004">
            <w:r>
              <w:t>1.0</w:t>
            </w:r>
          </w:p>
        </w:tc>
        <w:tc>
          <w:tcPr>
            <w:tcW w:w="0" w:type="auto"/>
            <w:vAlign w:val="center"/>
            <w:hideMark/>
          </w:tcPr>
          <w:p w:rsidR="00DA115B" w:rsidRDefault="00046004">
            <w:r>
              <w:t>2.0</w:t>
            </w:r>
          </w:p>
        </w:tc>
      </w:tr>
      <w:tr w:rsidR="00DA115B">
        <w:trPr>
          <w:tblCellSpacing w:w="0" w:type="dxa"/>
        </w:trPr>
        <w:tc>
          <w:tcPr>
            <w:tcW w:w="0" w:type="auto"/>
            <w:vAlign w:val="center"/>
            <w:hideMark/>
          </w:tcPr>
          <w:p w:rsidR="00DA115B" w:rsidRDefault="00046004">
            <w:r>
              <w:t>Польша</w:t>
            </w:r>
          </w:p>
        </w:tc>
        <w:tc>
          <w:tcPr>
            <w:tcW w:w="0" w:type="auto"/>
            <w:vAlign w:val="center"/>
            <w:hideMark/>
          </w:tcPr>
          <w:p w:rsidR="00DA115B" w:rsidRDefault="00046004">
            <w:r>
              <w:t>3.4</w:t>
            </w:r>
          </w:p>
        </w:tc>
        <w:tc>
          <w:tcPr>
            <w:tcW w:w="0" w:type="auto"/>
            <w:vAlign w:val="center"/>
            <w:hideMark/>
          </w:tcPr>
          <w:p w:rsidR="00DA115B" w:rsidRDefault="00046004">
            <w:r>
              <w:t>1.3</w:t>
            </w:r>
          </w:p>
        </w:tc>
        <w:tc>
          <w:tcPr>
            <w:tcW w:w="0" w:type="auto"/>
            <w:vAlign w:val="center"/>
            <w:hideMark/>
          </w:tcPr>
          <w:p w:rsidR="00DA115B" w:rsidRDefault="00046004">
            <w:r>
              <w:t>2.3</w:t>
            </w:r>
          </w:p>
        </w:tc>
        <w:tc>
          <w:tcPr>
            <w:tcW w:w="0" w:type="auto"/>
            <w:vAlign w:val="center"/>
            <w:hideMark/>
          </w:tcPr>
          <w:p w:rsidR="00DA115B" w:rsidRDefault="00046004">
            <w:r>
              <w:t>4.3</w:t>
            </w:r>
          </w:p>
        </w:tc>
      </w:tr>
      <w:tr w:rsidR="00DA115B">
        <w:trPr>
          <w:tblCellSpacing w:w="0" w:type="dxa"/>
        </w:trPr>
        <w:tc>
          <w:tcPr>
            <w:tcW w:w="0" w:type="auto"/>
            <w:vAlign w:val="center"/>
            <w:hideMark/>
          </w:tcPr>
          <w:p w:rsidR="00DA115B" w:rsidRDefault="00046004">
            <w:r>
              <w:t>Румыния</w:t>
            </w:r>
          </w:p>
        </w:tc>
        <w:tc>
          <w:tcPr>
            <w:tcW w:w="0" w:type="auto"/>
            <w:vAlign w:val="center"/>
            <w:hideMark/>
          </w:tcPr>
          <w:p w:rsidR="00DA115B" w:rsidRDefault="00046004">
            <w:r>
              <w:t>3, 7</w:t>
            </w:r>
          </w:p>
        </w:tc>
        <w:tc>
          <w:tcPr>
            <w:tcW w:w="0" w:type="auto"/>
            <w:vAlign w:val="center"/>
            <w:hideMark/>
          </w:tcPr>
          <w:p w:rsidR="00DA115B" w:rsidRDefault="00046004">
            <w:r>
              <w:t>1, 3</w:t>
            </w:r>
          </w:p>
        </w:tc>
        <w:tc>
          <w:tcPr>
            <w:tcW w:w="0" w:type="auto"/>
            <w:vAlign w:val="center"/>
            <w:hideMark/>
          </w:tcPr>
          <w:p w:rsidR="00DA115B" w:rsidRDefault="00046004">
            <w:r>
              <w:t>2.9</w:t>
            </w:r>
          </w:p>
        </w:tc>
        <w:tc>
          <w:tcPr>
            <w:tcW w:w="0" w:type="auto"/>
            <w:vAlign w:val="center"/>
            <w:hideMark/>
          </w:tcPr>
          <w:p w:rsidR="00DA115B" w:rsidRDefault="00046004">
            <w:r>
              <w:t>4.8</w:t>
            </w:r>
          </w:p>
        </w:tc>
      </w:tr>
      <w:tr w:rsidR="00DA115B">
        <w:trPr>
          <w:tblCellSpacing w:w="0" w:type="dxa"/>
        </w:trPr>
        <w:tc>
          <w:tcPr>
            <w:tcW w:w="0" w:type="auto"/>
            <w:vAlign w:val="center"/>
            <w:hideMark/>
          </w:tcPr>
          <w:p w:rsidR="00DA115B" w:rsidRDefault="00046004">
            <w:r>
              <w:t>Чехия</w:t>
            </w:r>
          </w:p>
        </w:tc>
        <w:tc>
          <w:tcPr>
            <w:tcW w:w="0" w:type="auto"/>
            <w:vAlign w:val="center"/>
            <w:hideMark/>
          </w:tcPr>
          <w:p w:rsidR="00DA115B" w:rsidRDefault="00046004">
            <w:r>
              <w:t>4, 4</w:t>
            </w:r>
          </w:p>
        </w:tc>
        <w:tc>
          <w:tcPr>
            <w:tcW w:w="0" w:type="auto"/>
            <w:vAlign w:val="center"/>
            <w:hideMark/>
          </w:tcPr>
          <w:p w:rsidR="00DA115B" w:rsidRDefault="00046004">
            <w:r>
              <w:t>0, 9</w:t>
            </w:r>
          </w:p>
        </w:tc>
        <w:tc>
          <w:tcPr>
            <w:tcW w:w="0" w:type="auto"/>
            <w:vAlign w:val="center"/>
            <w:hideMark/>
          </w:tcPr>
          <w:p w:rsidR="00DA115B" w:rsidRDefault="00046004">
            <w:r>
              <w:t>2.1</w:t>
            </w:r>
          </w:p>
        </w:tc>
        <w:tc>
          <w:tcPr>
            <w:tcW w:w="0" w:type="auto"/>
            <w:vAlign w:val="center"/>
            <w:hideMark/>
          </w:tcPr>
          <w:p w:rsidR="00DA115B" w:rsidRDefault="00046004">
            <w:r>
              <w:t>4.0</w:t>
            </w:r>
          </w:p>
        </w:tc>
      </w:tr>
      <w:tr w:rsidR="00DA115B">
        <w:trPr>
          <w:tblCellSpacing w:w="0" w:type="dxa"/>
        </w:trPr>
        <w:tc>
          <w:tcPr>
            <w:tcW w:w="0" w:type="auto"/>
            <w:vAlign w:val="center"/>
            <w:hideMark/>
          </w:tcPr>
          <w:p w:rsidR="00DA115B" w:rsidRDefault="00046004">
            <w:r>
              <w:t>Россия</w:t>
            </w:r>
          </w:p>
        </w:tc>
        <w:tc>
          <w:tcPr>
            <w:tcW w:w="0" w:type="auto"/>
            <w:vAlign w:val="center"/>
            <w:hideMark/>
          </w:tcPr>
          <w:p w:rsidR="00DA115B" w:rsidRDefault="00046004">
            <w:r>
              <w:t>5.8</w:t>
            </w:r>
          </w:p>
        </w:tc>
        <w:tc>
          <w:tcPr>
            <w:tcW w:w="0" w:type="auto"/>
            <w:vAlign w:val="center"/>
            <w:hideMark/>
          </w:tcPr>
          <w:p w:rsidR="00DA115B" w:rsidRDefault="00046004">
            <w:r>
              <w:t>1.6</w:t>
            </w:r>
          </w:p>
        </w:tc>
        <w:tc>
          <w:tcPr>
            <w:tcW w:w="0" w:type="auto"/>
            <w:vAlign w:val="center"/>
            <w:hideMark/>
          </w:tcPr>
          <w:p w:rsidR="00DA115B" w:rsidRDefault="00046004">
            <w:r>
              <w:t>3.7</w:t>
            </w:r>
          </w:p>
        </w:tc>
        <w:tc>
          <w:tcPr>
            <w:tcW w:w="0" w:type="auto"/>
            <w:vAlign w:val="center"/>
            <w:hideMark/>
          </w:tcPr>
          <w:p w:rsidR="00DA115B" w:rsidRDefault="00046004">
            <w:r>
              <w:t>6.1</w:t>
            </w:r>
          </w:p>
        </w:tc>
      </w:tr>
      <w:tr w:rsidR="00DA115B">
        <w:trPr>
          <w:tblCellSpacing w:w="0" w:type="dxa"/>
        </w:trPr>
        <w:tc>
          <w:tcPr>
            <w:tcW w:w="0" w:type="auto"/>
            <w:vAlign w:val="center"/>
            <w:hideMark/>
          </w:tcPr>
          <w:p w:rsidR="00DA115B" w:rsidRDefault="00046004">
            <w:r>
              <w:t>Испания</w:t>
            </w:r>
          </w:p>
        </w:tc>
        <w:tc>
          <w:tcPr>
            <w:tcW w:w="0" w:type="auto"/>
            <w:vAlign w:val="center"/>
            <w:hideMark/>
          </w:tcPr>
          <w:p w:rsidR="00DA115B" w:rsidRDefault="00046004">
            <w:r>
              <w:t>7.0</w:t>
            </w:r>
          </w:p>
        </w:tc>
        <w:tc>
          <w:tcPr>
            <w:tcW w:w="0" w:type="auto"/>
            <w:vAlign w:val="center"/>
            <w:hideMark/>
          </w:tcPr>
          <w:p w:rsidR="00DA115B" w:rsidRDefault="00046004">
            <w:r>
              <w:t>1.2</w:t>
            </w:r>
          </w:p>
        </w:tc>
        <w:tc>
          <w:tcPr>
            <w:tcW w:w="0" w:type="auto"/>
            <w:vAlign w:val="center"/>
            <w:hideMark/>
          </w:tcPr>
          <w:p w:rsidR="00DA115B" w:rsidRDefault="00046004">
            <w:r>
              <w:t>2.9</w:t>
            </w:r>
          </w:p>
        </w:tc>
        <w:tc>
          <w:tcPr>
            <w:tcW w:w="0" w:type="auto"/>
            <w:vAlign w:val="center"/>
            <w:hideMark/>
          </w:tcPr>
          <w:p w:rsidR="00DA115B" w:rsidRDefault="00046004">
            <w:r>
              <w:t>5.7</w:t>
            </w:r>
          </w:p>
        </w:tc>
      </w:tr>
      <w:tr w:rsidR="00DA115B">
        <w:trPr>
          <w:tblCellSpacing w:w="0" w:type="dxa"/>
        </w:trPr>
        <w:tc>
          <w:tcPr>
            <w:tcW w:w="0" w:type="auto"/>
            <w:vAlign w:val="center"/>
            <w:hideMark/>
          </w:tcPr>
          <w:p w:rsidR="00DA115B" w:rsidRDefault="00046004">
            <w:r>
              <w:t>Франция</w:t>
            </w:r>
          </w:p>
        </w:tc>
        <w:tc>
          <w:tcPr>
            <w:tcW w:w="0" w:type="auto"/>
            <w:vAlign w:val="center"/>
            <w:hideMark/>
          </w:tcPr>
          <w:p w:rsidR="00DA115B" w:rsidRDefault="00046004">
            <w:r>
              <w:t>7, 9</w:t>
            </w:r>
          </w:p>
        </w:tc>
        <w:tc>
          <w:tcPr>
            <w:tcW w:w="0" w:type="auto"/>
            <w:vAlign w:val="center"/>
            <w:hideMark/>
          </w:tcPr>
          <w:p w:rsidR="00DA115B" w:rsidRDefault="00046004">
            <w:r>
              <w:t>3, 4</w:t>
            </w:r>
          </w:p>
        </w:tc>
        <w:tc>
          <w:tcPr>
            <w:tcW w:w="0" w:type="auto"/>
            <w:vAlign w:val="center"/>
            <w:hideMark/>
          </w:tcPr>
          <w:p w:rsidR="00DA115B" w:rsidRDefault="00046004">
            <w:r>
              <w:t>5.2</w:t>
            </w:r>
          </w:p>
        </w:tc>
        <w:tc>
          <w:tcPr>
            <w:tcW w:w="0" w:type="auto"/>
            <w:vAlign w:val="center"/>
            <w:hideMark/>
          </w:tcPr>
          <w:p w:rsidR="00DA115B" w:rsidRDefault="00046004">
            <w:r>
              <w:t>7.5</w:t>
            </w:r>
          </w:p>
        </w:tc>
      </w:tr>
      <w:tr w:rsidR="00DA115B">
        <w:trPr>
          <w:tblCellSpacing w:w="0" w:type="dxa"/>
        </w:trPr>
        <w:tc>
          <w:tcPr>
            <w:tcW w:w="0" w:type="auto"/>
            <w:vAlign w:val="center"/>
            <w:hideMark/>
          </w:tcPr>
          <w:p w:rsidR="00DA115B" w:rsidRDefault="00046004">
            <w:r>
              <w:t>Ирландия</w:t>
            </w:r>
          </w:p>
        </w:tc>
        <w:tc>
          <w:tcPr>
            <w:tcW w:w="0" w:type="auto"/>
            <w:vAlign w:val="center"/>
            <w:hideMark/>
          </w:tcPr>
          <w:p w:rsidR="00DA115B" w:rsidRDefault="00046004">
            <w:r>
              <w:t>9.1</w:t>
            </w:r>
          </w:p>
        </w:tc>
        <w:tc>
          <w:tcPr>
            <w:tcW w:w="0" w:type="auto"/>
            <w:vAlign w:val="center"/>
            <w:hideMark/>
          </w:tcPr>
          <w:p w:rsidR="00DA115B" w:rsidRDefault="00046004">
            <w:r>
              <w:t>1.7</w:t>
            </w:r>
          </w:p>
        </w:tc>
        <w:tc>
          <w:tcPr>
            <w:tcW w:w="0" w:type="auto"/>
            <w:vAlign w:val="center"/>
            <w:hideMark/>
          </w:tcPr>
          <w:p w:rsidR="00DA115B" w:rsidRDefault="00046004">
            <w:r>
              <w:t>3.9</w:t>
            </w:r>
          </w:p>
        </w:tc>
        <w:tc>
          <w:tcPr>
            <w:tcW w:w="0" w:type="auto"/>
            <w:vAlign w:val="center"/>
            <w:hideMark/>
          </w:tcPr>
          <w:p w:rsidR="00DA115B" w:rsidRDefault="00046004">
            <w:r>
              <w:t>6.9</w:t>
            </w:r>
          </w:p>
        </w:tc>
      </w:tr>
      <w:tr w:rsidR="00DA115B">
        <w:trPr>
          <w:tblCellSpacing w:w="0" w:type="dxa"/>
        </w:trPr>
        <w:tc>
          <w:tcPr>
            <w:tcW w:w="0" w:type="auto"/>
            <w:vAlign w:val="center"/>
            <w:hideMark/>
          </w:tcPr>
          <w:p w:rsidR="00DA115B" w:rsidRDefault="00046004">
            <w:r>
              <w:t>Германия</w:t>
            </w:r>
          </w:p>
        </w:tc>
        <w:tc>
          <w:tcPr>
            <w:tcW w:w="0" w:type="auto"/>
            <w:vAlign w:val="center"/>
            <w:hideMark/>
          </w:tcPr>
          <w:p w:rsidR="00DA115B" w:rsidRDefault="00046004">
            <w:r>
              <w:t>11.6</w:t>
            </w:r>
          </w:p>
        </w:tc>
        <w:tc>
          <w:tcPr>
            <w:tcW w:w="0" w:type="auto"/>
            <w:vAlign w:val="center"/>
            <w:hideMark/>
          </w:tcPr>
          <w:p w:rsidR="00DA115B" w:rsidRDefault="00046004">
            <w:r>
              <w:t>1.7</w:t>
            </w:r>
          </w:p>
        </w:tc>
        <w:tc>
          <w:tcPr>
            <w:tcW w:w="0" w:type="auto"/>
            <w:vAlign w:val="center"/>
            <w:hideMark/>
          </w:tcPr>
          <w:p w:rsidR="00DA115B" w:rsidRDefault="00046004">
            <w:r>
              <w:t>4.7</w:t>
            </w:r>
          </w:p>
        </w:tc>
        <w:tc>
          <w:tcPr>
            <w:tcW w:w="0" w:type="auto"/>
            <w:vAlign w:val="center"/>
            <w:hideMark/>
          </w:tcPr>
          <w:p w:rsidR="00DA115B" w:rsidRDefault="00046004">
            <w:r>
              <w:t>9.8</w:t>
            </w:r>
          </w:p>
        </w:tc>
      </w:tr>
      <w:tr w:rsidR="00DA115B">
        <w:trPr>
          <w:tblCellSpacing w:w="0" w:type="dxa"/>
        </w:trPr>
        <w:tc>
          <w:tcPr>
            <w:tcW w:w="0" w:type="auto"/>
            <w:vAlign w:val="center"/>
            <w:hideMark/>
          </w:tcPr>
          <w:p w:rsidR="00DA115B" w:rsidRDefault="00046004">
            <w:r>
              <w:t>Великобритания</w:t>
            </w:r>
          </w:p>
        </w:tc>
        <w:tc>
          <w:tcPr>
            <w:tcW w:w="0" w:type="auto"/>
            <w:vAlign w:val="center"/>
            <w:hideMark/>
          </w:tcPr>
          <w:p w:rsidR="00DA115B" w:rsidRDefault="00046004">
            <w:r>
              <w:t>12, 3</w:t>
            </w:r>
          </w:p>
        </w:tc>
        <w:tc>
          <w:tcPr>
            <w:tcW w:w="0" w:type="auto"/>
            <w:vAlign w:val="center"/>
            <w:hideMark/>
          </w:tcPr>
          <w:p w:rsidR="00DA115B" w:rsidRDefault="00046004">
            <w:r>
              <w:t>1, 5</w:t>
            </w:r>
          </w:p>
        </w:tc>
        <w:tc>
          <w:tcPr>
            <w:tcW w:w="0" w:type="auto"/>
            <w:vAlign w:val="center"/>
            <w:hideMark/>
          </w:tcPr>
          <w:p w:rsidR="00DA115B" w:rsidRDefault="00046004">
            <w:r>
              <w:t>3.7</w:t>
            </w:r>
          </w:p>
        </w:tc>
        <w:tc>
          <w:tcPr>
            <w:tcW w:w="0" w:type="auto"/>
            <w:vAlign w:val="center"/>
            <w:hideMark/>
          </w:tcPr>
          <w:p w:rsidR="00DA115B" w:rsidRDefault="00046004">
            <w:r>
              <w:t>7, 4</w:t>
            </w:r>
          </w:p>
        </w:tc>
      </w:tr>
    </w:tbl>
    <w:p w:rsidR="00DA115B" w:rsidRPr="00046004" w:rsidRDefault="00046004">
      <w:pPr>
        <w:pStyle w:val="a3"/>
      </w:pPr>
      <w:r>
        <w:t>Источник: Емельянова Т. Школа выживания для пенсионеров // Финансы. 2010. № 36. С. 42.</w:t>
      </w:r>
    </w:p>
    <w:p w:rsidR="00DA115B" w:rsidRDefault="00046004">
      <w:pPr>
        <w:pStyle w:val="a3"/>
      </w:pPr>
      <w:r>
        <w:t>В связи с необходимостью повышения среднего размера пенсии и ростом числа пенсионеров в расчете на одного работающего (в начале 2010 г. соотношение было 1, 28 : 1) проблема увеличения возраста, в котором граждане уходят на пенсию, обостряется. Однако это возможно при росте средней продолжительности жизни. И все же реальность такова: уже к 2030 г. в России указанное соотношение может быть 1 : 1. В развитых странах это соотношение составляет 1, 5 : 1; 1, 6 : 1. Придется считаться с тем, что сокращается численность трудоспособного населения, а также лиц, на доходы которых начисляются и вносятся в Пенсионный фонд страховые взносы; устойчиво значительной является часть пенсионеров-инвалидов, не участвующая в формировании пенсионных накоплений, часть пенсионеров по случаю потери кормильца. Состав пенсионеров представлен в табл. 2.11.</w:t>
      </w:r>
    </w:p>
    <w:p w:rsidR="00DA115B" w:rsidRDefault="00046004">
      <w:pPr>
        <w:pStyle w:val="a3"/>
      </w:pPr>
      <w:r>
        <w:t>Однако возможность увеличения пенсионного возраста реализуется при определенных условиях, в том числе при условии поддержки профсоюзов.</w:t>
      </w:r>
    </w:p>
    <w:p w:rsidR="00DA115B" w:rsidRDefault="00046004">
      <w:pPr>
        <w:pStyle w:val="a3"/>
      </w:pPr>
      <w:r>
        <w:t>Таблица 2.11. Прогнозный расчет состава пенсионеров Российской Федерации в динамике, млн чел.</w:t>
      </w:r>
    </w:p>
    <w:p w:rsidR="00DA115B" w:rsidRDefault="00046004">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gridCol w:w="480"/>
        <w:gridCol w:w="480"/>
        <w:gridCol w:w="480"/>
      </w:tblGrid>
      <w:tr w:rsidR="00DA115B">
        <w:trPr>
          <w:tblCellSpacing w:w="0" w:type="dxa"/>
        </w:trPr>
        <w:tc>
          <w:tcPr>
            <w:tcW w:w="0" w:type="auto"/>
            <w:vAlign w:val="center"/>
            <w:hideMark/>
          </w:tcPr>
          <w:p w:rsidR="00DA115B" w:rsidRDefault="00046004">
            <w:r>
              <w:t>Показатель</w:t>
            </w:r>
          </w:p>
        </w:tc>
        <w:tc>
          <w:tcPr>
            <w:tcW w:w="0" w:type="auto"/>
            <w:vAlign w:val="center"/>
            <w:hideMark/>
          </w:tcPr>
          <w:p w:rsidR="00DA115B" w:rsidRDefault="00046004">
            <w:r>
              <w:t>2005 г.</w:t>
            </w:r>
          </w:p>
        </w:tc>
        <w:tc>
          <w:tcPr>
            <w:tcW w:w="0" w:type="auto"/>
            <w:vAlign w:val="center"/>
            <w:hideMark/>
          </w:tcPr>
          <w:p w:rsidR="00DA115B" w:rsidRDefault="00046004">
            <w:r>
              <w:t>2007 г.</w:t>
            </w:r>
          </w:p>
        </w:tc>
        <w:tc>
          <w:tcPr>
            <w:tcW w:w="0" w:type="auto"/>
            <w:vAlign w:val="center"/>
            <w:hideMark/>
          </w:tcPr>
          <w:p w:rsidR="00DA115B" w:rsidRDefault="00046004">
            <w:r>
              <w:t>2009 г.</w:t>
            </w:r>
          </w:p>
        </w:tc>
        <w:tc>
          <w:tcPr>
            <w:tcW w:w="0" w:type="auto"/>
            <w:vAlign w:val="center"/>
            <w:hideMark/>
          </w:tcPr>
          <w:p w:rsidR="00DA115B" w:rsidRDefault="00046004">
            <w:r>
              <w:t>2011 г.</w:t>
            </w:r>
          </w:p>
        </w:tc>
        <w:tc>
          <w:tcPr>
            <w:tcW w:w="0" w:type="auto"/>
            <w:vAlign w:val="center"/>
            <w:hideMark/>
          </w:tcPr>
          <w:p w:rsidR="00DA115B" w:rsidRDefault="00046004">
            <w:r>
              <w:t>2012 г.</w:t>
            </w:r>
          </w:p>
        </w:tc>
      </w:tr>
      <w:tr w:rsidR="00DA115B">
        <w:trPr>
          <w:tblCellSpacing w:w="0" w:type="dxa"/>
        </w:trPr>
        <w:tc>
          <w:tcPr>
            <w:tcW w:w="0" w:type="auto"/>
            <w:vAlign w:val="center"/>
            <w:hideMark/>
          </w:tcPr>
          <w:p w:rsidR="00DA115B" w:rsidRDefault="00046004">
            <w:r>
              <w:t>Численность пенсионеров — всего</w:t>
            </w:r>
          </w:p>
        </w:tc>
        <w:tc>
          <w:tcPr>
            <w:tcW w:w="0" w:type="auto"/>
            <w:vAlign w:val="center"/>
            <w:hideMark/>
          </w:tcPr>
          <w:p w:rsidR="00DA115B" w:rsidRDefault="00046004">
            <w:r>
              <w:t>38, 189</w:t>
            </w:r>
          </w:p>
        </w:tc>
        <w:tc>
          <w:tcPr>
            <w:tcW w:w="0" w:type="auto"/>
            <w:vAlign w:val="center"/>
            <w:hideMark/>
          </w:tcPr>
          <w:p w:rsidR="00DA115B" w:rsidRDefault="00046004">
            <w:r>
              <w:t>38.530</w:t>
            </w:r>
          </w:p>
        </w:tc>
        <w:tc>
          <w:tcPr>
            <w:tcW w:w="0" w:type="auto"/>
            <w:vAlign w:val="center"/>
            <w:hideMark/>
          </w:tcPr>
          <w:p w:rsidR="00DA115B" w:rsidRDefault="00046004">
            <w:r>
              <w:t>39, 033</w:t>
            </w:r>
          </w:p>
        </w:tc>
        <w:tc>
          <w:tcPr>
            <w:tcW w:w="0" w:type="auto"/>
            <w:vAlign w:val="center"/>
            <w:hideMark/>
          </w:tcPr>
          <w:p w:rsidR="00DA115B" w:rsidRDefault="00046004">
            <w:r>
              <w:t>39, 653</w:t>
            </w:r>
          </w:p>
        </w:tc>
        <w:tc>
          <w:tcPr>
            <w:tcW w:w="0" w:type="auto"/>
            <w:vAlign w:val="center"/>
            <w:hideMark/>
          </w:tcPr>
          <w:p w:rsidR="00DA115B" w:rsidRDefault="00046004">
            <w:r>
              <w:t>39.968</w:t>
            </w:r>
          </w:p>
        </w:tc>
      </w:tr>
      <w:tr w:rsidR="00DA115B">
        <w:trPr>
          <w:tblCellSpacing w:w="0" w:type="dxa"/>
        </w:trPr>
        <w:tc>
          <w:tcPr>
            <w:tcW w:w="0" w:type="auto"/>
            <w:vAlign w:val="center"/>
            <w:hideMark/>
          </w:tcPr>
          <w:p w:rsidR="00DA115B" w:rsidRDefault="00046004">
            <w:r>
              <w:t>В том числе: а) получатели трудовых пенсий по старости</w:t>
            </w:r>
          </w:p>
        </w:tc>
        <w:tc>
          <w:tcPr>
            <w:tcW w:w="0" w:type="auto"/>
            <w:vAlign w:val="center"/>
            <w:hideMark/>
          </w:tcPr>
          <w:p w:rsidR="00DA115B" w:rsidRDefault="00046004">
            <w:r>
              <w:t>29.087</w:t>
            </w:r>
          </w:p>
        </w:tc>
        <w:tc>
          <w:tcPr>
            <w:tcW w:w="0" w:type="auto"/>
            <w:vAlign w:val="center"/>
            <w:hideMark/>
          </w:tcPr>
          <w:p w:rsidR="00DA115B" w:rsidRDefault="00046004">
            <w:r>
              <w:t>29.405</w:t>
            </w:r>
          </w:p>
        </w:tc>
        <w:tc>
          <w:tcPr>
            <w:tcW w:w="0" w:type="auto"/>
            <w:vAlign w:val="center"/>
            <w:hideMark/>
          </w:tcPr>
          <w:p w:rsidR="00DA115B" w:rsidRDefault="00046004">
            <w:r>
              <w:t>29.898</w:t>
            </w:r>
          </w:p>
        </w:tc>
        <w:tc>
          <w:tcPr>
            <w:tcW w:w="0" w:type="auto"/>
            <w:vAlign w:val="center"/>
            <w:hideMark/>
          </w:tcPr>
          <w:p w:rsidR="00DA115B" w:rsidRDefault="00046004">
            <w:r>
              <w:t>30, 531</w:t>
            </w:r>
          </w:p>
        </w:tc>
        <w:tc>
          <w:tcPr>
            <w:tcW w:w="0" w:type="auto"/>
            <w:vAlign w:val="center"/>
            <w:hideMark/>
          </w:tcPr>
          <w:p w:rsidR="00DA115B" w:rsidRDefault="00046004">
            <w:r>
              <w:t>30.859</w:t>
            </w:r>
          </w:p>
        </w:tc>
      </w:tr>
      <w:tr w:rsidR="00DA115B">
        <w:trPr>
          <w:tblCellSpacing w:w="0" w:type="dxa"/>
        </w:trPr>
        <w:tc>
          <w:tcPr>
            <w:tcW w:w="0" w:type="auto"/>
            <w:vAlign w:val="center"/>
            <w:hideMark/>
          </w:tcPr>
          <w:p w:rsidR="00DA115B" w:rsidRDefault="00046004">
            <w:r>
              <w:t>б) получатели трудовых пенсий по инвалидности</w:t>
            </w:r>
          </w:p>
        </w:tc>
        <w:tc>
          <w:tcPr>
            <w:tcW w:w="0" w:type="auto"/>
            <w:vAlign w:val="center"/>
            <w:hideMark/>
          </w:tcPr>
          <w:p w:rsidR="00DA115B" w:rsidRDefault="00046004">
            <w:r>
              <w:t>4.430</w:t>
            </w:r>
          </w:p>
        </w:tc>
        <w:tc>
          <w:tcPr>
            <w:tcW w:w="0" w:type="auto"/>
            <w:vAlign w:val="center"/>
            <w:hideMark/>
          </w:tcPr>
          <w:p w:rsidR="00DA115B" w:rsidRDefault="00046004">
            <w:r>
              <w:t>4.452</w:t>
            </w:r>
          </w:p>
        </w:tc>
        <w:tc>
          <w:tcPr>
            <w:tcW w:w="0" w:type="auto"/>
            <w:vAlign w:val="center"/>
            <w:hideMark/>
          </w:tcPr>
          <w:p w:rsidR="00DA115B" w:rsidRDefault="00046004">
            <w:r>
              <w:t>4.480</w:t>
            </w:r>
          </w:p>
        </w:tc>
        <w:tc>
          <w:tcPr>
            <w:tcW w:w="0" w:type="auto"/>
            <w:vAlign w:val="center"/>
            <w:hideMark/>
          </w:tcPr>
          <w:p w:rsidR="00DA115B" w:rsidRDefault="00046004">
            <w:r>
              <w:t>4.448</w:t>
            </w:r>
          </w:p>
        </w:tc>
        <w:tc>
          <w:tcPr>
            <w:tcW w:w="0" w:type="auto"/>
            <w:vAlign w:val="center"/>
            <w:hideMark/>
          </w:tcPr>
          <w:p w:rsidR="00DA115B" w:rsidRDefault="00046004">
            <w:r>
              <w:t>4.436</w:t>
            </w:r>
          </w:p>
        </w:tc>
      </w:tr>
      <w:tr w:rsidR="00DA115B">
        <w:trPr>
          <w:tblCellSpacing w:w="0" w:type="dxa"/>
        </w:trPr>
        <w:tc>
          <w:tcPr>
            <w:tcW w:w="0" w:type="auto"/>
            <w:vAlign w:val="center"/>
            <w:hideMark/>
          </w:tcPr>
          <w:p w:rsidR="00DA115B" w:rsidRDefault="00046004">
            <w:r>
              <w:t>в) получатели трудовых пенсий по случаю потери кормильца</w:t>
            </w:r>
          </w:p>
        </w:tc>
        <w:tc>
          <w:tcPr>
            <w:tcW w:w="0" w:type="auto"/>
            <w:vAlign w:val="center"/>
            <w:hideMark/>
          </w:tcPr>
          <w:p w:rsidR="00DA115B" w:rsidRDefault="00046004">
            <w:r>
              <w:t>2, 721</w:t>
            </w:r>
          </w:p>
        </w:tc>
        <w:tc>
          <w:tcPr>
            <w:tcW w:w="0" w:type="auto"/>
            <w:vAlign w:val="center"/>
            <w:hideMark/>
          </w:tcPr>
          <w:p w:rsidR="00DA115B" w:rsidRDefault="00046004">
            <w:r>
              <w:t>2.721</w:t>
            </w:r>
          </w:p>
        </w:tc>
        <w:tc>
          <w:tcPr>
            <w:tcW w:w="0" w:type="auto"/>
            <w:vAlign w:val="center"/>
            <w:hideMark/>
          </w:tcPr>
          <w:p w:rsidR="00DA115B" w:rsidRDefault="00046004">
            <w:r>
              <w:t>2.721</w:t>
            </w:r>
          </w:p>
        </w:tc>
        <w:tc>
          <w:tcPr>
            <w:tcW w:w="0" w:type="auto"/>
            <w:vAlign w:val="center"/>
            <w:hideMark/>
          </w:tcPr>
          <w:p w:rsidR="00DA115B" w:rsidRDefault="00046004">
            <w:r>
              <w:t>2, 721</w:t>
            </w:r>
          </w:p>
        </w:tc>
        <w:tc>
          <w:tcPr>
            <w:tcW w:w="0" w:type="auto"/>
            <w:vAlign w:val="center"/>
            <w:hideMark/>
          </w:tcPr>
          <w:p w:rsidR="00DA115B" w:rsidRDefault="00046004">
            <w:r>
              <w:t>2, 721</w:t>
            </w:r>
          </w:p>
        </w:tc>
      </w:tr>
      <w:tr w:rsidR="00DA115B">
        <w:trPr>
          <w:tblCellSpacing w:w="0" w:type="dxa"/>
        </w:trPr>
        <w:tc>
          <w:tcPr>
            <w:tcW w:w="0" w:type="auto"/>
            <w:vAlign w:val="center"/>
            <w:hideMark/>
          </w:tcPr>
          <w:p w:rsidR="00DA115B" w:rsidRDefault="00046004">
            <w:r>
              <w:t>Наемные работники</w:t>
            </w:r>
          </w:p>
        </w:tc>
        <w:tc>
          <w:tcPr>
            <w:tcW w:w="0" w:type="auto"/>
            <w:vAlign w:val="center"/>
            <w:hideMark/>
          </w:tcPr>
          <w:p w:rsidR="00DA115B" w:rsidRDefault="00046004">
            <w:r>
              <w:t>50.625</w:t>
            </w:r>
          </w:p>
        </w:tc>
        <w:tc>
          <w:tcPr>
            <w:tcW w:w="0" w:type="auto"/>
            <w:vAlign w:val="center"/>
            <w:hideMark/>
          </w:tcPr>
          <w:p w:rsidR="00DA115B" w:rsidRDefault="00046004">
            <w:r>
              <w:t>50.649</w:t>
            </w:r>
          </w:p>
        </w:tc>
        <w:tc>
          <w:tcPr>
            <w:tcW w:w="0" w:type="auto"/>
            <w:vAlign w:val="center"/>
            <w:hideMark/>
          </w:tcPr>
          <w:p w:rsidR="00DA115B" w:rsidRDefault="00046004">
            <w:r>
              <w:t>50.069</w:t>
            </w:r>
          </w:p>
        </w:tc>
        <w:tc>
          <w:tcPr>
            <w:tcW w:w="0" w:type="auto"/>
            <w:vAlign w:val="center"/>
            <w:hideMark/>
          </w:tcPr>
          <w:p w:rsidR="00DA115B" w:rsidRDefault="00046004">
            <w:r>
              <w:t>49.199</w:t>
            </w:r>
          </w:p>
        </w:tc>
        <w:tc>
          <w:tcPr>
            <w:tcW w:w="0" w:type="auto"/>
            <w:vAlign w:val="center"/>
            <w:hideMark/>
          </w:tcPr>
          <w:p w:rsidR="00DA115B" w:rsidRDefault="00046004">
            <w:r>
              <w:t>48.819</w:t>
            </w:r>
          </w:p>
        </w:tc>
      </w:tr>
      <w:tr w:rsidR="00DA115B">
        <w:trPr>
          <w:tblCellSpacing w:w="0" w:type="dxa"/>
        </w:trPr>
        <w:tc>
          <w:tcPr>
            <w:tcW w:w="0" w:type="auto"/>
            <w:vAlign w:val="center"/>
            <w:hideMark/>
          </w:tcPr>
          <w:p w:rsidR="00DA115B" w:rsidRDefault="00046004">
            <w:r>
              <w:t>Плательщики пенсионных взносов, включая индивидуальных предпринимателей</w:t>
            </w:r>
          </w:p>
        </w:tc>
        <w:tc>
          <w:tcPr>
            <w:tcW w:w="0" w:type="auto"/>
            <w:vAlign w:val="center"/>
            <w:hideMark/>
          </w:tcPr>
          <w:p w:rsidR="00DA115B" w:rsidRDefault="00046004">
            <w:r>
              <w:t>53, 431</w:t>
            </w:r>
          </w:p>
        </w:tc>
        <w:tc>
          <w:tcPr>
            <w:tcW w:w="0" w:type="auto"/>
            <w:vAlign w:val="center"/>
            <w:hideMark/>
          </w:tcPr>
          <w:p w:rsidR="00DA115B" w:rsidRDefault="00046004">
            <w:r>
              <w:t>53.447</w:t>
            </w:r>
          </w:p>
        </w:tc>
        <w:tc>
          <w:tcPr>
            <w:tcW w:w="0" w:type="auto"/>
            <w:vAlign w:val="center"/>
            <w:hideMark/>
          </w:tcPr>
          <w:p w:rsidR="00DA115B" w:rsidRDefault="00046004">
            <w:r>
              <w:t>52.839</w:t>
            </w:r>
          </w:p>
        </w:tc>
        <w:tc>
          <w:tcPr>
            <w:tcW w:w="0" w:type="auto"/>
            <w:vAlign w:val="center"/>
            <w:hideMark/>
          </w:tcPr>
          <w:p w:rsidR="00DA115B" w:rsidRDefault="00046004">
            <w:r>
              <w:t>51, 924</w:t>
            </w:r>
          </w:p>
        </w:tc>
        <w:tc>
          <w:tcPr>
            <w:tcW w:w="0" w:type="auto"/>
            <w:vAlign w:val="center"/>
            <w:hideMark/>
          </w:tcPr>
          <w:p w:rsidR="00DA115B" w:rsidRDefault="00046004">
            <w:r>
              <w:t>51, 521</w:t>
            </w:r>
          </w:p>
        </w:tc>
      </w:tr>
      <w:tr w:rsidR="00DA115B">
        <w:trPr>
          <w:tblCellSpacing w:w="0" w:type="dxa"/>
        </w:trPr>
        <w:tc>
          <w:tcPr>
            <w:tcW w:w="0" w:type="auto"/>
            <w:vAlign w:val="center"/>
            <w:hideMark/>
          </w:tcPr>
          <w:p w:rsidR="00DA115B" w:rsidRDefault="00046004">
            <w:r>
              <w:t>Численность трудоспособного населения</w:t>
            </w:r>
          </w:p>
        </w:tc>
        <w:tc>
          <w:tcPr>
            <w:tcW w:w="0" w:type="auto"/>
            <w:vAlign w:val="center"/>
            <w:hideMark/>
          </w:tcPr>
          <w:p w:rsidR="00DA115B" w:rsidRDefault="00046004">
            <w:r>
              <w:t>63.3</w:t>
            </w:r>
          </w:p>
        </w:tc>
        <w:tc>
          <w:tcPr>
            <w:tcW w:w="0" w:type="auto"/>
            <w:vAlign w:val="center"/>
            <w:hideMark/>
          </w:tcPr>
          <w:p w:rsidR="00DA115B" w:rsidRDefault="00046004">
            <w:r>
              <w:t>63.4</w:t>
            </w:r>
          </w:p>
        </w:tc>
        <w:tc>
          <w:tcPr>
            <w:tcW w:w="0" w:type="auto"/>
            <w:vAlign w:val="center"/>
            <w:hideMark/>
          </w:tcPr>
          <w:p w:rsidR="00DA115B" w:rsidRDefault="00046004">
            <w:r>
              <w:t>63.0</w:t>
            </w:r>
          </w:p>
        </w:tc>
        <w:tc>
          <w:tcPr>
            <w:tcW w:w="0" w:type="auto"/>
            <w:vAlign w:val="center"/>
            <w:hideMark/>
          </w:tcPr>
          <w:p w:rsidR="00DA115B" w:rsidRDefault="00046004">
            <w:r>
              <w:t>62, 3</w:t>
            </w:r>
          </w:p>
        </w:tc>
        <w:tc>
          <w:tcPr>
            <w:tcW w:w="0" w:type="auto"/>
            <w:vAlign w:val="center"/>
            <w:hideMark/>
          </w:tcPr>
          <w:p w:rsidR="00DA115B" w:rsidRDefault="00046004">
            <w:r>
              <w:t>61.0</w:t>
            </w:r>
          </w:p>
        </w:tc>
      </w:tr>
    </w:tbl>
    <w:p w:rsidR="00DA115B" w:rsidRDefault="00DA115B">
      <w:bookmarkStart w:id="0" w:name="_GoBack"/>
      <w:bookmarkEnd w:id="0"/>
    </w:p>
    <w:sectPr w:rsidR="00DA115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6004"/>
    <w:rsid w:val="00046004"/>
    <w:rsid w:val="00231668"/>
    <w:rsid w:val="00DA11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17A7AB78-FD50-4FD5-9976-D518C0EC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3708</Words>
  <Characters>21136</Characters>
  <Application>Microsoft Office Word</Application>
  <DocSecurity>0</DocSecurity>
  <Lines>176</Lines>
  <Paragraphs>49</Paragraphs>
  <ScaleCrop>false</ScaleCrop>
  <Company>diakov.net</Company>
  <LinksUpToDate>false</LinksUpToDate>
  <CharactersWithSpaces>24795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Пенсионное страхование</dc:title>
  <dc:subject/>
  <dc:creator>Irina</dc:creator>
  <cp:keywords/>
  <dc:description/>
  <cp:lastModifiedBy>Irina</cp:lastModifiedBy>
  <cp:revision>2</cp:revision>
  <dcterms:created xsi:type="dcterms:W3CDTF">2014-07-19T03:27:00Z</dcterms:created>
  <dcterms:modified xsi:type="dcterms:W3CDTF">2014-07-19T03:27:00Z</dcterms:modified>
</cp:coreProperties>
</file>