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572" w:rsidRDefault="00EC5403">
      <w:pPr>
        <w:pStyle w:val="1"/>
        <w:jc w:val="center"/>
      </w:pPr>
      <w:r>
        <w:t>Особенности договора поставки в государственных (муниципальных) учреждениях</w:t>
      </w:r>
    </w:p>
    <w:p w:rsidR="004A4572" w:rsidRPr="00EC5403" w:rsidRDefault="00EC5403">
      <w:pPr>
        <w:pStyle w:val="a3"/>
      </w:pPr>
      <w:r>
        <w:t>Наталия Никишина, бухгалтер ГОУ СОШ № 213</w:t>
      </w:r>
    </w:p>
    <w:p w:rsidR="004A4572" w:rsidRDefault="00EC5403">
      <w:pPr>
        <w:pStyle w:val="a3"/>
      </w:pPr>
      <w:r>
        <w:t>Бухгалтеры государственных (муниципальных) учреждений при оплате договора поставки неизбежно сталкиваются с проблемой выбора кода КОСГУ. Рассмотрим наиболее распространенные ошибки определения экономического содержания подобных операций и порядок их исправления.</w:t>
      </w:r>
    </w:p>
    <w:p w:rsidR="004A4572" w:rsidRDefault="00EC5403">
      <w:pPr>
        <w:pStyle w:val="a3"/>
      </w:pPr>
      <w:r>
        <w:t xml:space="preserve">Ремонт или модернизация </w:t>
      </w:r>
    </w:p>
    <w:p w:rsidR="004A4572" w:rsidRDefault="00EC5403">
      <w:pPr>
        <w:pStyle w:val="a3"/>
      </w:pPr>
      <w:r>
        <w:t>Ситуация. В гаражных боксах бюджетного учреждения установлены металлические ворота. Учреждением было принято решение о замене металлических ворот на автоматические и заключен договор поставки со сторонней организацией. Металлические ворота на момент замены были исправны.</w:t>
      </w:r>
    </w:p>
    <w:p w:rsidR="004A4572" w:rsidRDefault="00EC5403">
      <w:pPr>
        <w:pStyle w:val="a3"/>
      </w:pPr>
      <w:r>
        <w:t>Ошибка: Оплата была произведена по коду 225 КОСГУ.</w:t>
      </w:r>
    </w:p>
    <w:p w:rsidR="004A4572" w:rsidRDefault="00EC5403">
      <w:pPr>
        <w:pStyle w:val="a3"/>
      </w:pPr>
      <w:r>
        <w:t>Как исправить: В указанном случае имела место модернизация основного средства. Оплату следует произвести по коду 310 КОСГУ.</w:t>
      </w:r>
    </w:p>
    <w:p w:rsidR="004A4572" w:rsidRDefault="00EC5403">
      <w:pPr>
        <w:pStyle w:val="a3"/>
      </w:pPr>
      <w:r>
        <w:t>Бухгалтер квалифицировал работы по замене металлических ворот на автоматические как ремонт. Согласно разделу V Указаний № 180н ремонт - это, в частности, устранение неисправностей, восстановление работоспособности имущества, восстановление или поддержание его первоначальных характеристик. К модернизации относится совокупность работ по усовершенствованию объекта основных средств, приводящая к повышению технического уровня и экономических характеристик объекта, осуществляемая путем замены его конструктивных элементов и систем более эффективными (письмо Минфина России от 05.02.2010 № 02-05-10/383 (применяется в части, не противоречащей Указаниям № 180н)).</w:t>
      </w:r>
    </w:p>
    <w:p w:rsidR="004A4572" w:rsidRDefault="00EC5403">
      <w:pPr>
        <w:pStyle w:val="a3"/>
      </w:pPr>
      <w:r>
        <w:t>Термин «модернизация» предполагает замену узлов, причем они должны быть исправны. Если заменяется неисправный узел, то такие работы являются не модернизацией, а ремонтом. В описанной ситуации приобретаются ворота более высокого технического уровня (автоматические) на замену их исправных аналогов. Следовательно, оснований для применения подстатьи 225 «Работы, услуги по содержанию имущества» КОСГУ нет. Оплату следует производить по статье 310 «Увеличение стоимости основных средств» КОСГУ.</w:t>
      </w:r>
    </w:p>
    <w:p w:rsidR="004A4572" w:rsidRDefault="00EC5403">
      <w:pPr>
        <w:pStyle w:val="a3"/>
      </w:pPr>
      <w:r>
        <w:t xml:space="preserve">Формирование стоимости </w:t>
      </w:r>
    </w:p>
    <w:p w:rsidR="004A4572" w:rsidRDefault="00EC5403">
      <w:pPr>
        <w:pStyle w:val="a3"/>
      </w:pPr>
      <w:r>
        <w:t>Ситуация. Автономное учреждение заключило договор поставки. Согласно предмету договора поставщик обязуется передать материал и доставить его. Сумма оплаты по договору составляет 75 тыс. руб., в т. ч. стоимость материала - 55 тыс. руб., его доставка - 20 тыс. руб. К оплате представлен счет и акт на сумму 75 тыс. руб. (без НДС) с разбивкой на стоимость материала и доставки.</w:t>
      </w:r>
    </w:p>
    <w:p w:rsidR="004A4572" w:rsidRDefault="00EC5403">
      <w:pPr>
        <w:pStyle w:val="a3"/>
      </w:pPr>
      <w:r>
        <w:t>Ошибка: Стоимость материала была оплачена по коду 340 КОСГУ, а его доставка - по коду 222 КОСГУ.</w:t>
      </w:r>
    </w:p>
    <w:p w:rsidR="004A4572" w:rsidRDefault="00EC5403">
      <w:pPr>
        <w:pStyle w:val="a3"/>
      </w:pPr>
      <w:r>
        <w:t>Как исправить: Оплату следует произвести полностью по коду 340 КОСГУ.</w:t>
      </w:r>
    </w:p>
    <w:p w:rsidR="004A4572" w:rsidRDefault="00EC5403">
      <w:pPr>
        <w:pStyle w:val="a3"/>
      </w:pPr>
      <w:r>
        <w:t>Бухгалтер не учел требования п. 102 Инструкции № 157н, согласно которому доставка материальных ценностей поставщиком или какие-либо другие сопутствующие услуги, включаются в стоимость материальных запасов. Несмотря на то, что продавец выделил стоимость услуг по доставке отдельными позициями в счете и акте, все расходы по договору следует отнести по статье 340 «Увеличение стоимости материальных запасов» КОСГУ В случае когда учреждение заключает несколько договоров, связанных с приобретением материальных запасов (отдельно - на поставку, на транспортные услуги по доставке, монтаж объекта и т. п.), каждый из них оплачивается по соответствующему коду КОСГУ (например, услуги по доставке - подстатья 222 «Транспортные услуги» КОСГУ).</w:t>
      </w:r>
      <w:bookmarkStart w:id="0" w:name="_GoBack"/>
      <w:bookmarkEnd w:id="0"/>
    </w:p>
    <w:sectPr w:rsidR="004A457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5403"/>
    <w:rsid w:val="000215A2"/>
    <w:rsid w:val="004A4572"/>
    <w:rsid w:val="00EC54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548B315-8A75-44FD-9A60-299CE7F8B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493</Words>
  <Characters>2815</Characters>
  <Application>Microsoft Office Word</Application>
  <DocSecurity>0</DocSecurity>
  <Lines>23</Lines>
  <Paragraphs>6</Paragraphs>
  <ScaleCrop>false</ScaleCrop>
  <Company>diakov.net</Company>
  <LinksUpToDate>false</LinksUpToDate>
  <CharactersWithSpaces>3302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Особенности договора поставки в государственных (муниципальных) учреждениях</dc:title>
  <dc:subject/>
  <dc:creator>Irina</dc:creator>
  <cp:keywords/>
  <dc:description/>
  <cp:lastModifiedBy>Irina</cp:lastModifiedBy>
  <cp:revision>2</cp:revision>
  <dcterms:created xsi:type="dcterms:W3CDTF">2014-07-19T03:23:00Z</dcterms:created>
  <dcterms:modified xsi:type="dcterms:W3CDTF">2014-07-19T03:23:00Z</dcterms:modified>
</cp:coreProperties>
</file>