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2146" w:rsidRDefault="002E11FC">
      <w:pPr>
        <w:pStyle w:val="1"/>
        <w:jc w:val="center"/>
      </w:pPr>
      <w:r>
        <w:t>Европейская система центральных банков (ЕСЦБ)</w:t>
      </w:r>
    </w:p>
    <w:p w:rsidR="00182146" w:rsidRPr="002E11FC" w:rsidRDefault="002E11FC">
      <w:pPr>
        <w:pStyle w:val="a3"/>
      </w:pPr>
      <w:r>
        <w:t>Организационная структура и функции подразделений ЕСЦБ</w:t>
      </w:r>
    </w:p>
    <w:p w:rsidR="00182146" w:rsidRDefault="002E11FC">
      <w:pPr>
        <w:pStyle w:val="a3"/>
      </w:pPr>
      <w:r>
        <w:t>Европейская система центральных банков (ЕСЦБ) – это международная банковская система, состоящая из наднационального Европейского центрального банка (ЕЦБ) и Национальных центральных банков (НЦБ) государств – членов Европейского Экономического Сообщества. Существование этой системы является неотъемлемой частью процесса образования Европейского экономического и валютного союза.</w:t>
      </w:r>
    </w:p>
    <w:p w:rsidR="00182146" w:rsidRDefault="002E11FC">
      <w:pPr>
        <w:pStyle w:val="a3"/>
      </w:pPr>
      <w:r>
        <w:t>По своей структуре ЕСЦБ отчасти похожа на Федеральную резервную систему в США, состоящую из 13 банков главе с The Bank of New-York и в целом выполняющую роль центрального банка. При этом, национальные центральные банки Великобритании, Дании, Греции и Швеции являются членами Европейской системы центральных банков со специальным статусом: им не разрешено принимать участие в принятии решений, касающихся проведения единой денежной политики для «зоны евро» и реализовывать подобные решения.</w:t>
      </w:r>
    </w:p>
    <w:p w:rsidR="00182146" w:rsidRDefault="002E11FC">
      <w:pPr>
        <w:pStyle w:val="a3"/>
      </w:pPr>
      <w:r>
        <w:t>Европейская система центральных банков включает в себя Европейский центральный банк и Национальные центральные банки стран - участниц «зоны евро». В уставе ЕСЦБ и ЕЦБ провозглашена независимость этих организаций от других органов Союза, от правительств стран – членов ЕЭВС и любых других учреждений. Это вполне соответствует обычному статусу центрального банка в рамках отдельной страны. Вместе с тем существенное значение имеет зафиксированный в специальной статье устава «генеральный принцип», согласно которому Европейская система центральных банков управляется руководством («принимающими решения органами») Европейского центрального банка, и, прежде всего, Советом Управляющих.</w:t>
      </w:r>
    </w:p>
    <w:p w:rsidR="00182146" w:rsidRDefault="002E11FC">
      <w:pPr>
        <w:pStyle w:val="a3"/>
      </w:pPr>
      <w:r>
        <w:t>Совет Управляющих, верховный руководящий орган, включает в себя всех членов Исполнительной Дирекции и управляющих НЦБ только стран – участниц Европейского экономического и валютного союза.</w:t>
      </w:r>
    </w:p>
    <w:p w:rsidR="00182146" w:rsidRDefault="002E11FC">
      <w:pPr>
        <w:pStyle w:val="a3"/>
      </w:pPr>
      <w:r>
        <w:t>К основным функциям Совета Управляющих относятся:</w:t>
      </w:r>
    </w:p>
    <w:p w:rsidR="00182146" w:rsidRDefault="002E11FC">
      <w:pPr>
        <w:pStyle w:val="a3"/>
      </w:pPr>
      <w:r>
        <w:t>адаптация инструкций и принятие решений, обеспечивающих достижение целей создания Европейской системы центральных банков;</w:t>
      </w:r>
    </w:p>
    <w:p w:rsidR="00182146" w:rsidRDefault="002E11FC">
      <w:pPr>
        <w:pStyle w:val="a3"/>
      </w:pPr>
      <w:r>
        <w:t>определение ключевых элементов денежной политики ЕЭВС, таких как процентные ставки, размер минимальных резервов Национальных центральных банков, разработка конкретных инструкций по ее проведению.</w:t>
      </w:r>
    </w:p>
    <w:p w:rsidR="00182146" w:rsidRDefault="002E11FC">
      <w:pPr>
        <w:pStyle w:val="a3"/>
      </w:pPr>
      <w:r>
        <w:t>Кроме того, Совет Управляющих утверждает правила внутренней организации Европейского центрального банка и его руководящих органов, выполняет функции консультанта ЕЦБ и определяет порядок представления Европейской системы центральных банков в области международного сотрудничества.</w:t>
      </w:r>
    </w:p>
    <w:p w:rsidR="00182146" w:rsidRDefault="002E11FC">
      <w:pPr>
        <w:pStyle w:val="a3"/>
      </w:pPr>
      <w:r>
        <w:t>Исполнительная Дирекция включает в себя Президента, Вице-президента и четырех членов, отобранных из числа кандидатов, имеющих большой профессиональный опыт в финансовой или банковской сфере. Они назначаются из граждан стран- членов ЕЭВС на встрече глав правительств этих стран по предложению Совета Европы после Консультаций с Европейским Парламентом и Советом Управляющих ЕЦБ (для последующих выборов). Исполнительная Дирекция должна проводить денежную политику в соответствии с инструкциями и правилами, принимаемыми Советом Управляющих Европейского центрального банка и, таким образом, руководить действиями НЦБ, принимая по необходимости ведомственные инструкции.</w:t>
      </w:r>
    </w:p>
    <w:p w:rsidR="00182146" w:rsidRDefault="002E11FC">
      <w:pPr>
        <w:pStyle w:val="a3"/>
      </w:pPr>
      <w:r>
        <w:t>Генеральный Совет, третий руководящий орган Европейской системы центральных банков, включает Президента и Вице-президента Европейского центрального банка и Управляющих Национальными центральными банками всех стран Европейского Экономического Сообщества, независимо от их участия в ЕЭВС. Генеральный Совет выполняет функции, которые ранее осуществлялись Европейским Валютным Институтом и которые необходимо продолжать на третьем этапе плана ЕЭВС. К основным задачам Генерального Совета можно отнести следующие:</w:t>
      </w:r>
    </w:p>
    <w:p w:rsidR="00182146" w:rsidRDefault="002E11FC">
      <w:pPr>
        <w:pStyle w:val="a3"/>
      </w:pPr>
      <w:r>
        <w:t>осуществление консультационных функций ЕСЦБ;</w:t>
      </w:r>
    </w:p>
    <w:p w:rsidR="00182146" w:rsidRDefault="002E11FC">
      <w:pPr>
        <w:pStyle w:val="a3"/>
      </w:pPr>
      <w:r>
        <w:t>сбор и обработка статистической информации;</w:t>
      </w:r>
    </w:p>
    <w:p w:rsidR="00182146" w:rsidRDefault="002E11FC">
      <w:pPr>
        <w:pStyle w:val="a3"/>
      </w:pPr>
      <w:r>
        <w:t>подготовка ежеквартальных и ежегодных отчетов о деятельности ЕЦБ, а также еженедельных консолидированных финансовых отчетов;</w:t>
      </w:r>
    </w:p>
    <w:p w:rsidR="00182146" w:rsidRDefault="002E11FC">
      <w:pPr>
        <w:pStyle w:val="a3"/>
      </w:pPr>
      <w:r>
        <w:t>разработка и принятие необходимых правил по стандартизации бухгалтерского учета и отчетности по операциям, проводимым НЦБ;</w:t>
      </w:r>
    </w:p>
    <w:p w:rsidR="00182146" w:rsidRDefault="002E11FC">
      <w:pPr>
        <w:pStyle w:val="a3"/>
      </w:pPr>
      <w:r>
        <w:t>принятие мер, относящихся к оплате Уставного капитала Европейского центрального банка в части, не урегулированной Общим Договором ЕЭС;</w:t>
      </w:r>
    </w:p>
    <w:p w:rsidR="00182146" w:rsidRDefault="002E11FC">
      <w:pPr>
        <w:pStyle w:val="a3"/>
      </w:pPr>
      <w:r>
        <w:t>разработка должностных инструкций и правил приема на работу в ЕЦБ;</w:t>
      </w:r>
    </w:p>
    <w:p w:rsidR="00182146" w:rsidRDefault="002E11FC">
      <w:pPr>
        <w:pStyle w:val="a3"/>
      </w:pPr>
      <w:r>
        <w:t>организационная подготовка к процедуре установления окончательного фиксированного валютного курса национальных валют к евро.</w:t>
      </w:r>
    </w:p>
    <w:p w:rsidR="00182146" w:rsidRDefault="002E11FC">
      <w:pPr>
        <w:pStyle w:val="a3"/>
      </w:pPr>
      <w:r>
        <w:t>Президент Европейского центрального банка одновременно является председателем всех трех его руководящих органов: Совета Управляющих, Исполнительной Дирекции и Генерального Совета; при этом в двух первых случаях он располагает решающим голосом в случае равного распределения голосов. Кроме того, Президент представляет ЕЦБ во внешних организациях или назначает доверенное лицо для этой роли. По отношению к третьим лицам он, по законодательству, представляет ЕЦБ.</w:t>
      </w:r>
    </w:p>
    <w:p w:rsidR="00182146" w:rsidRDefault="002E11FC">
      <w:pPr>
        <w:pStyle w:val="a3"/>
      </w:pPr>
      <w:r>
        <w:t>Национальные центральные банки стран-участниц являются неотъемлемой частью Европейской системы центральных банков и действуют в соответствии с указаниями и инструкциями ЕЦБ.</w:t>
      </w:r>
    </w:p>
    <w:p w:rsidR="00182146" w:rsidRDefault="002E11FC">
      <w:pPr>
        <w:pStyle w:val="a3"/>
      </w:pPr>
      <w:r>
        <w:t>В организации деятельности Европейского центрального банка широко и успешно используется институт кураторов, при котором каждый из шести членов Исполнительной Дирекции курирует определенное направление деятельности Европейского центрального банка.</w:t>
      </w:r>
    </w:p>
    <w:p w:rsidR="00182146" w:rsidRDefault="002E11FC">
      <w:pPr>
        <w:pStyle w:val="a3"/>
      </w:pPr>
      <w:r>
        <w:t>Совет Управляющих ЕЦБ уполномочен разрабатывать кредитно-денежную политику, а Исполнительная Дирекция – претворять ее в жизнь. В той мере, в какой это возможно и целесообразно, Европейский центральный банк прибегает к использованию возможностей Национальных центральных банков.</w:t>
      </w:r>
    </w:p>
    <w:p w:rsidR="00182146" w:rsidRDefault="002E11FC">
      <w:pPr>
        <w:pStyle w:val="a3"/>
      </w:pPr>
      <w:r>
        <w:t>В период разработки и создания ЕСЦБ подготовительные работы проводились, в частности, тремя комитетами и шестью специализированными рабочими группами, объединяющими представителей Национальных центральных банков и Европейского Валютного Института. Этот опыт тесного сотрудничества продолжается внутри ЕСЦБ с необходимыми изменениями.</w:t>
      </w:r>
    </w:p>
    <w:p w:rsidR="00182146" w:rsidRDefault="002E11FC">
      <w:pPr>
        <w:pStyle w:val="a3"/>
      </w:pPr>
      <w:r>
        <w:t>Под руководством Совета Управляющих работают тринадцать Комитетов:</w:t>
      </w:r>
    </w:p>
    <w:p w:rsidR="00182146" w:rsidRDefault="002E11FC">
      <w:pPr>
        <w:pStyle w:val="a3"/>
      </w:pPr>
      <w:r>
        <w:t>Комитет внутренних аудиторов;</w:t>
      </w:r>
    </w:p>
    <w:p w:rsidR="00182146" w:rsidRDefault="002E11FC">
      <w:pPr>
        <w:pStyle w:val="a3"/>
      </w:pPr>
      <w:r>
        <w:t>Комитет по банкнотам;</w:t>
      </w:r>
    </w:p>
    <w:p w:rsidR="00182146" w:rsidRDefault="002E11FC">
      <w:pPr>
        <w:pStyle w:val="a3"/>
      </w:pPr>
      <w:r>
        <w:t>Бюджетный комитет;</w:t>
      </w:r>
    </w:p>
    <w:p w:rsidR="00182146" w:rsidRDefault="002E11FC">
      <w:pPr>
        <w:pStyle w:val="a3"/>
      </w:pPr>
      <w:r>
        <w:t>Комитет внешней коммуникации;</w:t>
      </w:r>
    </w:p>
    <w:p w:rsidR="00182146" w:rsidRDefault="002E11FC">
      <w:pPr>
        <w:pStyle w:val="a3"/>
      </w:pPr>
      <w:r>
        <w:t>Комитет бухгалтерского учета и денежных доходов;</w:t>
      </w:r>
    </w:p>
    <w:p w:rsidR="00182146" w:rsidRDefault="002E11FC">
      <w:pPr>
        <w:pStyle w:val="a3"/>
      </w:pPr>
      <w:r>
        <w:t>Юридический комитет;</w:t>
      </w:r>
    </w:p>
    <w:p w:rsidR="00182146" w:rsidRDefault="002E11FC">
      <w:pPr>
        <w:pStyle w:val="a3"/>
      </w:pPr>
      <w:r>
        <w:t>Комитет по рыночным операциям;</w:t>
      </w:r>
    </w:p>
    <w:p w:rsidR="00182146" w:rsidRDefault="002E11FC">
      <w:pPr>
        <w:pStyle w:val="a3"/>
      </w:pPr>
      <w:r>
        <w:t>Комитет по денежно-кредитной политике;</w:t>
      </w:r>
    </w:p>
    <w:p w:rsidR="00182146" w:rsidRDefault="002E11FC">
      <w:pPr>
        <w:pStyle w:val="a3"/>
      </w:pPr>
      <w:r>
        <w:t>Комитет международных отношений;</w:t>
      </w:r>
    </w:p>
    <w:p w:rsidR="00182146" w:rsidRDefault="002E11FC">
      <w:pPr>
        <w:pStyle w:val="a3"/>
      </w:pPr>
      <w:r>
        <w:t>Статистический комитет;</w:t>
      </w:r>
    </w:p>
    <w:p w:rsidR="00182146" w:rsidRDefault="002E11FC">
      <w:pPr>
        <w:pStyle w:val="a3"/>
      </w:pPr>
      <w:r>
        <w:t>Комитет банковского надзора;</w:t>
      </w:r>
    </w:p>
    <w:p w:rsidR="00182146" w:rsidRDefault="002E11FC">
      <w:pPr>
        <w:pStyle w:val="a3"/>
      </w:pPr>
      <w:r>
        <w:t>Комитет информационных систем;</w:t>
      </w:r>
    </w:p>
    <w:p w:rsidR="00182146" w:rsidRDefault="002E11FC">
      <w:pPr>
        <w:pStyle w:val="a3"/>
      </w:pPr>
      <w:r>
        <w:t>Комитет платежно-расчетных систем.</w:t>
      </w:r>
    </w:p>
    <w:p w:rsidR="00182146" w:rsidRDefault="002E11FC">
      <w:pPr>
        <w:pStyle w:val="a3"/>
      </w:pPr>
      <w:r>
        <w:t> </w:t>
      </w:r>
    </w:p>
    <w:tbl>
      <w:tblPr>
        <w:tblpPr w:leftFromText="45" w:rightFromText="45" w:vertAnchor="text" w:tblpXSpec="right" w:tblpYSpec="center"/>
        <w:tblW w:w="0" w:type="auto"/>
        <w:tblCellSpacing w:w="37" w:type="dxa"/>
        <w:tblCellMar>
          <w:left w:w="0" w:type="dxa"/>
          <w:right w:w="0" w:type="dxa"/>
        </w:tblCellMar>
        <w:tblLook w:val="04A0" w:firstRow="1" w:lastRow="0" w:firstColumn="1" w:lastColumn="0" w:noHBand="0" w:noVBand="1"/>
      </w:tblPr>
      <w:tblGrid>
        <w:gridCol w:w="480"/>
      </w:tblGrid>
      <w:tr w:rsidR="00182146">
        <w:trPr>
          <w:tblCellSpacing w:w="37" w:type="dxa"/>
        </w:trPr>
        <w:tc>
          <w:tcPr>
            <w:tcW w:w="0" w:type="auto"/>
            <w:vAlign w:val="center"/>
            <w:hideMark/>
          </w:tcPr>
          <w:p w:rsidR="00182146" w:rsidRDefault="002E11FC">
            <w:r>
              <w:t> </w:t>
            </w:r>
          </w:p>
        </w:tc>
      </w:tr>
    </w:tbl>
    <w:p w:rsidR="00182146" w:rsidRPr="002E11FC" w:rsidRDefault="002E11FC">
      <w:pPr>
        <w:pStyle w:val="a3"/>
      </w:pPr>
      <w:r>
        <w:t>Посредниками, позволяющими Европейскому центральному банку проводить в жизнь стран-участниц ЕЭВС единую денежно-кредитную политику, являются его уполномоченные контрагенты. Кредитные учреждения, отобранные для этой цели, обязаны соответствовать ряду критериев:</w:t>
      </w:r>
    </w:p>
    <w:p w:rsidR="00182146" w:rsidRDefault="002E11FC">
      <w:pPr>
        <w:pStyle w:val="a3"/>
      </w:pPr>
      <w:r>
        <w:t>в условиях обязательного резервирования круг уполномоченных контрагентов ограничен только теми кредитными учреждениями, которые создали минимальные резервы;</w:t>
      </w:r>
    </w:p>
    <w:p w:rsidR="00182146" w:rsidRDefault="002E11FC">
      <w:pPr>
        <w:pStyle w:val="a3"/>
      </w:pPr>
      <w:r>
        <w:t>в противном случае круг возможных уполномоченных контрагентов распространяется на все кредитные учреждения, расположенные в «зоне евро». ЕЦБ имеет право на не дискриминационной основе отказывать в праве доступа кредитным учреждениям, которые по характеру своей деятельности не могут быть полезными при проведении кредитно-денежной политики;</w:t>
      </w:r>
    </w:p>
    <w:p w:rsidR="00182146" w:rsidRDefault="002E11FC">
      <w:pPr>
        <w:pStyle w:val="a3"/>
      </w:pPr>
      <w:r>
        <w:t>финансовое положение уполномоченных контрагентов должно быть проверено национальными властями и найдено удовлетворительным (это положение не распространяется на филиалы организаций, штаб-квартиры которых находятся за пределами европейского экономического пространства);</w:t>
      </w:r>
    </w:p>
    <w:p w:rsidR="00182146" w:rsidRDefault="002E11FC">
      <w:pPr>
        <w:pStyle w:val="a3"/>
      </w:pPr>
      <w:r>
        <w:t>контрагенты должны отвечать любым специфическим операционным критериям, установленным Национальными центральными банками или ЕЦБ.</w:t>
      </w:r>
    </w:p>
    <w:p w:rsidR="00182146" w:rsidRDefault="002E11FC">
      <w:pPr>
        <w:pStyle w:val="a3"/>
      </w:pPr>
      <w:r>
        <w:t>Уполномоченные контрагенты получают доступ к возможностям Европейской системы центральных банков только через Национальный центральный банк того государства – участника ЕЭВС, в котором они расположены. НЦБ собирают заявки на участие в операциях Европейского центрального банка и передают эти данные в центральный компьютер ЕЦБ во Франкфурте. На основе собранных заявок ЕЦБ определяет рыночную цену ресурсов и спускает соответствующие инструкции Национальным центральным банкам, которые и распределяют операции среди контрагентов. С учетом возможностей современных информационных технологий даже сравнительно небольшие организации могут участвовать в операциях ЕСЦБ. В случае необходимости тендеры могут проводиться в течение часа на основе электронного обмена информацией.</w:t>
      </w:r>
    </w:p>
    <w:p w:rsidR="00182146" w:rsidRDefault="002E11FC">
      <w:pPr>
        <w:pStyle w:val="a3"/>
      </w:pPr>
      <w:r>
        <w:t>Европейская система центральных банков имеет право отказать в доступе к инструментам кредитно-денежной политики по соображениям надежности или в случае грубого или неоднократного нарушения контрагентом своих обязательств. При отборе участников специализированных операций применяются и некоторые дополнительные критерии.</w:t>
      </w:r>
    </w:p>
    <w:p w:rsidR="00182146" w:rsidRDefault="002E11FC">
      <w:pPr>
        <w:pStyle w:val="a3"/>
      </w:pPr>
      <w:r>
        <w:t>Цели и принципы организации деятельности ЕСЦБ</w:t>
      </w:r>
    </w:p>
    <w:p w:rsidR="00182146" w:rsidRDefault="002E11FC">
      <w:pPr>
        <w:pStyle w:val="a3"/>
      </w:pPr>
      <w:r>
        <w:t>Главной целью создания Европейской системы центральных банков, в соответствии со статьей 2 Устава ЕСЦБ и ЕЦБ, является поддержание стабильности цен.</w:t>
      </w:r>
    </w:p>
    <w:p w:rsidR="00182146" w:rsidRDefault="002E11FC">
      <w:pPr>
        <w:pStyle w:val="a3"/>
      </w:pPr>
      <w:r>
        <w:t>В октябре 1998 года Совет Управляющих ЕЦБ уточнил главную цель денежно-кредитной политики ЕЭВС, указав, что понятие «стабильность цен» предусматривает возможность роста гармонизированного индекса цен на потребительские товары до 2% в год, одновременно определив и его структуру применительно к потребительским товарам и услугам.</w:t>
      </w:r>
    </w:p>
    <w:p w:rsidR="00182146" w:rsidRDefault="002E11FC">
      <w:pPr>
        <w:pStyle w:val="a3"/>
      </w:pPr>
      <w:r>
        <w:t>Установлено, что стабильность цен должна поддерживаться в среднесрочной перспективе, причем недопустимы рост цен сверх установленной величины и дефляция, т. е. длительное снижение их уровня, отражаемые гармонизированным индексом цен на потребительские товары. Установление стабильности цен в рамках ЕЭВС соответствует принципам, которыми руководствовались Национальные центральные банки большинства стран до их объединения в Союз, чем обеспечивается преемственность в проведении денежно-кредитной политики. Для достижения основной цели ЕСЦБ решает следующие конкретные задачи, определенные в статье 3 его Устава:</w:t>
      </w:r>
    </w:p>
    <w:p w:rsidR="00182146" w:rsidRDefault="002E11FC">
      <w:pPr>
        <w:pStyle w:val="a3"/>
      </w:pPr>
      <w:r>
        <w:t>1. Определение и проведение единой денежно-кредитной политики.</w:t>
      </w:r>
    </w:p>
    <w:p w:rsidR="00182146" w:rsidRDefault="002E11FC">
      <w:pPr>
        <w:pStyle w:val="a3"/>
      </w:pPr>
      <w:r>
        <w:t>Совет управляющих ЕЦБ определяет единую денежно-кредитную политику, которую Национальные центральные банки внедряют децентрализованным и гармоничным образом. Оперативные рамки единой денежно-кредитной политики должны удовлетворять следующим принципам: соответствие рыночным принципам, равноправный режим для всех, простота, поиск наилучшего соотношения эффективности и стоимости, децентрализация, непрерывность, согласование и соответствие с управленческими решениями ЕСЦБ. В основном для проведения денежно-кредитной политики используются те процедуры и инструменты, которые использовались большинством центральных банков до становления Европейского экономического и валютного союза.</w:t>
      </w:r>
    </w:p>
    <w:p w:rsidR="00182146" w:rsidRDefault="002E11FC">
      <w:pPr>
        <w:pStyle w:val="a3"/>
      </w:pPr>
      <w:r>
        <w:t>2. Хранение и управление официальными валютными резервами стран-участниц, а также осуществление валютных операций.</w:t>
      </w:r>
    </w:p>
    <w:p w:rsidR="00182146" w:rsidRDefault="002E11FC">
      <w:pPr>
        <w:pStyle w:val="a3"/>
      </w:pPr>
      <w:r>
        <w:t>Европейская система центральных банков осуществляет хранение и управление официальными золотовалютными резервами стран-участниц ЕЭВС. Взнос каждого Национального центрального банка определен в соответствии с его долей в капитале Европейского центрального банка.</w:t>
      </w:r>
    </w:p>
    <w:p w:rsidR="00182146" w:rsidRDefault="002E11FC">
      <w:pPr>
        <w:pStyle w:val="a3"/>
      </w:pPr>
      <w:r>
        <w:t>Согласно уставу ЕЦБ центральные банки должны передать ему (на кредитной основе) валютные резервы на общую сумму, эквивалентную 50 млрд. евро (в дальнейшем эта сумма по решению Совета Управляющих может быть увеличена). Объем резервов, переведенных одиннадцатью центральными банками стран – участниц ЕЭВС 1 января 1999г. в Европейский центральный банк, составил 39, 46 млрд. евро. Из них 85% суммы - в валюте, остальные 15% - в золоте.</w:t>
      </w:r>
    </w:p>
    <w:p w:rsidR="00182146" w:rsidRDefault="002E11FC">
      <w:pPr>
        <w:pStyle w:val="a3"/>
      </w:pPr>
      <w:r>
        <w:t>Валютные резервы, остающиеся в распоряжении национальных банков, используются ими для выполнения их обязательств по отношению к международным организациям. Проведение иных операций с этими резервами, сверх лимита, устанавливаемого Советом Управляющих, должно быть согласовано с ЕЦБ. Это считается необходимым для обеспечения согласованной валютной и денежной политики в рамках ЕЭВС.</w:t>
      </w:r>
    </w:p>
    <w:p w:rsidR="00182146" w:rsidRDefault="002E11FC">
      <w:pPr>
        <w:pStyle w:val="a3"/>
      </w:pPr>
      <w:r>
        <w:t>Валютные резервы могут быть использованы Европейским центральным банком для проведения валютных интервенций, причем ему дано право самостоятельно принимать решения о проведении таких интервенций. Это, однако, не означает, что ЕЦБ намерен добиваться установления каких-либо курсовых ориентиров в отношении любой чужой валюты, так как подобный подход может привести к противоречию с приоритетной задачей обеспечения стабильности цен. Тем не менее, Европейская система центральных банков оснащена техническими возможностями для интервенций на валютных рынках с целью противостоять чрезмерным или хаотичным колебаниям курса евро в отношении валют основных стран вне Европейского Экономического Сообщества.</w:t>
      </w:r>
    </w:p>
    <w:p w:rsidR="00182146" w:rsidRDefault="002E11FC">
      <w:pPr>
        <w:pStyle w:val="a3"/>
      </w:pPr>
      <w:r>
        <w:t>3. Обеспечение правильного функционирования платежно-расчетных систем. Для обеспечения успеха новой валюты на третьем этапе становления ЕЭВС крайне важно наличие эффективной технической базы платежей и расчетов. В частности, такая база полезна для содействия формированию общих краткосрочных межбанковских процентных ставок по всей «зоне евро». Это предполагает, в свою очередь, создание системы, при посредстве которой основные крупномасштабные трансграничные сделки могли бы обслуживаться в течение того же дня. Для осуществления платежей в пределах Европы с первого же дня 1999 года задействованы две общеевропейские системы банковских расчетов: ТАРГЕТ (Trans-European Automated Real-time Gross settlement Express Transfer system) с внутригосударственными системами клиринговых расчетов - RTGS (Real Time Gross Settlements) и ЕВА (система Европейской банковской ассоциации).</w:t>
      </w:r>
    </w:p>
    <w:p w:rsidR="00182146" w:rsidRDefault="002E11FC">
      <w:pPr>
        <w:pStyle w:val="a3"/>
      </w:pPr>
      <w:r>
        <w:t>Помимо решения вышеперечисленных задач, Европейская система центральных банков в процессе своей деятельности осуществляет также следующие функции:</w:t>
      </w:r>
    </w:p>
    <w:p w:rsidR="00182146" w:rsidRDefault="002E11FC">
      <w:pPr>
        <w:pStyle w:val="a3"/>
      </w:pPr>
      <w:r>
        <w:t>эмиссия банкнот и монет. ЕЦБ является единственной организацией, имеющей право разрешить эмиссию банкнот, выраженных в евро. ЕСЦБ эмитирует эти банкноты, которые станут единственным законным платежным средством в странах ЕЭВС.</w:t>
      </w:r>
    </w:p>
    <w:p w:rsidR="00182146" w:rsidRDefault="002E11FC">
      <w:pPr>
        <w:pStyle w:val="a3"/>
      </w:pPr>
      <w:r>
        <w:t>сотрудничество в области банковского надзора. Роль ЕСЦБ в осуществлении банковского надзора достаточно ограничена. Система должна лишь вносить вклад в организованное проведение соответствующих мероприятий, и может предлагать свои рекомендации по сферам действия применимого здесь законодательства и порядку его применения. Устав ЕСЦБ включает в себя положения, дающие ей право и на более прямое участие в банковском надзоре, однако такая передача полномочий потребовала бы единогласного решения Совета ЕЭС.</w:t>
      </w:r>
    </w:p>
    <w:p w:rsidR="00182146" w:rsidRDefault="002E11FC">
      <w:pPr>
        <w:pStyle w:val="a3"/>
      </w:pPr>
      <w:r>
        <w:t>консультативные функции. ЕЦБ консультирует Совет Европы или правительства стран-участников ЕЭС по всем проектам в части, входящей в его компетенцию: по вопросам денежного обращения, платежно-расчетным средствам, национальным центральным банкам, статистическим данным, платежно-расчетным системам, стабильности кредитных организаций, финансовых рынков и т. д.</w:t>
      </w:r>
    </w:p>
    <w:p w:rsidR="00182146" w:rsidRDefault="002E11FC">
      <w:pPr>
        <w:pStyle w:val="a3"/>
      </w:pPr>
      <w:r>
        <w:t>сбор статистических данных. Для должного использования инструментов денежной политики они должны опираться на достоверную и сопоставимую статистику. Это в особенности касается финансовых и банковских данных, необходимых, например, для расчета базы резервных требований, а также статистики цен, коль скоро она связана с выполнением упоминавшейся конечной цели денежной политики ЕСЦБ. В частности, в системе уже появились частично гармонизированные индексы потребительских цен. В пределах, не наносящих ущерба главной цели своего существования – поддержания стабильности цен, Европейская система центральных банков призвана поддерживать и общую экономическую политику внутри Европейского экономического и валютного союза.</w:t>
      </w:r>
    </w:p>
    <w:p w:rsidR="00182146" w:rsidRDefault="002E11FC">
      <w:pPr>
        <w:pStyle w:val="a3"/>
      </w:pPr>
      <w:r>
        <w:t>ЕСЦБ представляет собой независимую банковскую систему. При осуществлении своей деятельности члены ее органов управления не имеют права использовать инструкции или правила правительств и государственных органов стран Европейского Экономического Сообщества или внешних стран. В свою очередь институты Европейского Экономического Сообщества и правительства государств – участников ЕЭВС не имеют права вмешиваться в деятельность Европейской системы центральных банков.</w:t>
      </w:r>
    </w:p>
    <w:p w:rsidR="00182146" w:rsidRDefault="002E11FC">
      <w:pPr>
        <w:pStyle w:val="a3"/>
      </w:pPr>
      <w:r>
        <w:t>В Уставе ЕСЦБ представлены следующие меры, определяющие безопасность проводимой политики и независимость управляющих Национальными центральными банками от внешнего влияния:</w:t>
      </w:r>
    </w:p>
    <w:p w:rsidR="00182146" w:rsidRDefault="002E11FC">
      <w:pPr>
        <w:pStyle w:val="a3"/>
      </w:pPr>
      <w:r>
        <w:t>минимальный срок нахождения в должности управляющего НЦБ – пять лет;</w:t>
      </w:r>
    </w:p>
    <w:p w:rsidR="00182146" w:rsidRDefault="002E11FC">
      <w:pPr>
        <w:pStyle w:val="a3"/>
      </w:pPr>
      <w:r>
        <w:t>минимальный (не возобновляемый) срок нахождения в должности для членов Исполнительной Дирекции ЕЦБ – восемь лет. При этом, порядок утверждения Президента и Вице-президента для первой Исполнительной Дирекции отличен от порядка утверждения прочих его членов;</w:t>
      </w:r>
    </w:p>
    <w:p w:rsidR="00182146" w:rsidRDefault="002E11FC">
      <w:pPr>
        <w:pStyle w:val="a3"/>
      </w:pPr>
      <w:r>
        <w:t>прекращение срока нахождения в должности возможно только в связи с физической неспособностью или серьезными ошибками при осуществлении деятельности должностными лицами;</w:t>
      </w:r>
    </w:p>
    <w:p w:rsidR="00182146" w:rsidRDefault="002E11FC">
      <w:pPr>
        <w:pStyle w:val="a3"/>
      </w:pPr>
      <w:r>
        <w:t>все споры и разногласия по вопросам осуществления деятельности находятся в компетенции Европейского Суда.</w:t>
      </w:r>
    </w:p>
    <w:p w:rsidR="00182146" w:rsidRDefault="002E11FC">
      <w:pPr>
        <w:pStyle w:val="a3"/>
      </w:pPr>
      <w:r>
        <w:t>Ответственность Европейской системы центральных банков и правила ведения диалога между ЕСЦБ и европейскими международными институтами также отвечают требованиям независимости.</w:t>
      </w:r>
    </w:p>
    <w:p w:rsidR="00182146" w:rsidRDefault="002E11FC">
      <w:pPr>
        <w:pStyle w:val="a3"/>
      </w:pPr>
      <w:r>
        <w:t>Члены Исполнительной Дирекции назначаются на должность по взаимному согласию главами государств или правительств стран – участниц ЕЭВС с учетом рекомендаций Совета Европейского союза. Одобрение Европейским Парламентом является необходимым условием для назначения членов Исполнительной Дирекции.</w:t>
      </w:r>
    </w:p>
    <w:p w:rsidR="00182146" w:rsidRDefault="002E11FC">
      <w:pPr>
        <w:pStyle w:val="a3"/>
      </w:pPr>
      <w:r>
        <w:t>Председатель ЭКОФИН и члены Комиссии Европейского Совета могут принимать участие в заседаниях Исполнительной Дирекции без права решающего голова, при этом Председатель ЭКОФИН может вносить свои предложения на рассмотрение Совета Управляющих.</w:t>
      </w:r>
    </w:p>
    <w:p w:rsidR="00182146" w:rsidRDefault="002E11FC">
      <w:pPr>
        <w:pStyle w:val="a3"/>
      </w:pPr>
      <w:r>
        <w:t>ЕЦБ должен направлять свой годовой отчет в органы Европейского сообщества, в Европейский Парламент, а члены его Исполнительной Дирекции обязаны появляться по вызову в компетентных Комитетах Европейского Парламента. Ежеквартальные отчеты о деятельности ЕСЦБ служат основой на ежеквартальных переговорах с Европейским парламентом в присутствии Президента ЕЦБ или, в случае необходимости, членов Исполнительной Дирекции.</w:t>
      </w:r>
    </w:p>
    <w:p w:rsidR="00182146" w:rsidRDefault="002E11FC">
      <w:pPr>
        <w:pStyle w:val="a3"/>
      </w:pPr>
      <w:r>
        <w:t>Два представителя ЕЦБ и представители НЦБ являются членами Экономическо-финансового комитета, объединяющего представителей министров экономики и финансов и центральных банков стран – участник ЕЭС и подготавливающего собрания ЭКОФИНа.</w:t>
      </w:r>
    </w:p>
    <w:p w:rsidR="00182146" w:rsidRDefault="002E11FC">
      <w:pPr>
        <w:pStyle w:val="a3"/>
      </w:pPr>
      <w:r>
        <w:t>Председатель ЕЦБ или другие члены Исполнительной Дирекции могут быть заслушаны Европейским парламентом по собственной инициативе или по запросу парламента. Кроме того, национальные законы, как правило, предусматривают, что руководители НЦБ также будут заслушаны национальными парламентами. Суд Европейского сообщества обладает полномочиями для контроля над актами или упущениями ЕЦБ.</w:t>
      </w:r>
    </w:p>
    <w:p w:rsidR="00182146" w:rsidRDefault="002E11FC">
      <w:pPr>
        <w:pStyle w:val="a3"/>
      </w:pPr>
      <w:r>
        <w:t>В сферу деятельности ЕЦБ входит:</w:t>
      </w:r>
    </w:p>
    <w:p w:rsidR="00182146" w:rsidRDefault="002E11FC">
      <w:pPr>
        <w:pStyle w:val="a3"/>
      </w:pPr>
      <w:r>
        <w:t>предоставление кредитов, в том числе ломбардных, финансовым институтам;</w:t>
      </w:r>
    </w:p>
    <w:p w:rsidR="00182146" w:rsidRDefault="002E11FC">
      <w:pPr>
        <w:pStyle w:val="a3"/>
      </w:pPr>
      <w:r>
        <w:t>операции на открытом рынке с различными финансовыми инструментами;</w:t>
      </w:r>
    </w:p>
    <w:p w:rsidR="00182146" w:rsidRDefault="002E11FC">
      <w:pPr>
        <w:pStyle w:val="a3"/>
      </w:pPr>
      <w:r>
        <w:t>установление минимальных резервных требований для кредитных институтов стран-членов ЕЭВС.</w:t>
      </w:r>
    </w:p>
    <w:p w:rsidR="00182146" w:rsidRDefault="002E11FC">
      <w:pPr>
        <w:pStyle w:val="a3"/>
      </w:pPr>
      <w:r>
        <w:t>Характерная черта деятельности ЕЦБ состоит в том, что все принципиальные решения, принимаемые простым или квалифицированным (2/3 голосов) большинством, предусматривают «взвешенное» голосование руководителей центральных банков, при котором «вес» (т. е. количество голосов каждого из них) определяется в соответствии с долей соответствующей страны (ее центрального банка) в совокупном капитале ЕЦБ. Это не относится к членам Исполнительной Дирекции, каждый из которых имеет только один голос.</w:t>
      </w:r>
    </w:p>
    <w:p w:rsidR="00182146" w:rsidRDefault="002E11FC">
      <w:pPr>
        <w:pStyle w:val="a3"/>
      </w:pPr>
      <w:r>
        <w:t>ЕЦБ может заниматься обычными для центральных банков операциями: предоставлением кредитов, в том числе ломбардных (под залог ценных бумаг), финансовым институтам и операциями на открытом рынке с различными финансовыми инструментами, выраженными в любой валюте, в том числе в валюте стран, не входящих в ЕЭВС, а также с драгоценными металлами. Такие же операции могут вести Национальные центральные банки, руководствуясь при этом общими принципами, которые разрабатывает ЕЦБ.</w:t>
      </w:r>
    </w:p>
    <w:p w:rsidR="00182146" w:rsidRDefault="002E11FC">
      <w:pPr>
        <w:pStyle w:val="a3"/>
      </w:pPr>
      <w:r>
        <w:t>Устав ЕЦБ предусматривает значительную децентрализацию деятельности Европейской системы центральных банков, с тем, чтобы такие операции, как РЕПО и валютные интервенции, самостоятельно осуществлялись Национальными центральными банками. Каждый из них может также самостоятельно определять, какие активы коммерческих банков приемлемы в качестве залога.</w:t>
      </w:r>
    </w:p>
    <w:p w:rsidR="00182146" w:rsidRDefault="002E11FC">
      <w:pPr>
        <w:pStyle w:val="a3"/>
      </w:pPr>
      <w:r>
        <w:t>Европейский центральный банк и Национальные центральные банки не имеют права на кредитование (в любой форме) межгосударственных (в системе ЕЭС), государственных, региональных и местных органов власти и организаций, действующих на основе государственного права. Это, однако, не распространяется на государственные кредитные институты, которые в данном случае рассматриваются так же, как частные кредитные институты.</w:t>
      </w:r>
    </w:p>
    <w:p w:rsidR="00182146" w:rsidRDefault="002E11FC">
      <w:pPr>
        <w:pStyle w:val="a3"/>
      </w:pPr>
      <w:r>
        <w:t>ЕЦБ и НЦБ могут устанавливать связи с центральными банками и финансовыми институтами других стран и международными организациями и осуществлять с ними все виды банковской деятельности, используя при этом любые финансовые активы и валюты.</w:t>
      </w:r>
    </w:p>
    <w:p w:rsidR="00182146" w:rsidRDefault="002E11FC">
      <w:pPr>
        <w:pStyle w:val="a3"/>
      </w:pPr>
      <w:r>
        <w:t>Собственный капитал ЕЦБ к началу его деятельности был определен в размере 5 млрд. ЭКЮ (т.е. 5 млрд. евро начиная с 1 января 1999 года). в дальнейшем по решению Совета Управляющих он может увеличиваться. Акционерами ЕЦБ могут быть только Национальные центральные банки. Капитал ЕЦБ формируется в пропорции к сравнительному демографическому и экономическому весу НЦБ. Ключевым показателем при этом является средняя взвешенная доля каждой страны в населении и ВВП «зоны евро», которая определяется по следующей формуле:</w:t>
      </w:r>
    </w:p>
    <w:p w:rsidR="00182146" w:rsidRDefault="002E11FC">
      <w:pPr>
        <w:pStyle w:val="a3"/>
      </w:pPr>
      <w:r>
        <w:t>50% этой доли – в соответствии с удельным весом каждой страны в общей численности населения Европейского Экономического Сообщества;</w:t>
      </w:r>
    </w:p>
    <w:p w:rsidR="00182146" w:rsidRDefault="002E11FC">
      <w:pPr>
        <w:pStyle w:val="a3"/>
      </w:pPr>
      <w:r>
        <w:t>50% - в соответствии с ее удельным весом в совокупном валовом внутреннем продукте ЕЭС.</w:t>
      </w:r>
    </w:p>
    <w:p w:rsidR="00182146" w:rsidRDefault="002E11FC">
      <w:pPr>
        <w:pStyle w:val="a3"/>
      </w:pPr>
      <w:r>
        <w:t>Эти данные будут корректироваться каждые 5 лет.</w:t>
      </w:r>
    </w:p>
    <w:p w:rsidR="00182146" w:rsidRDefault="002E11FC">
      <w:pPr>
        <w:pStyle w:val="a3"/>
      </w:pPr>
      <w:r>
        <w:t>Согласно учредительным документам чистая прибыль ЕЦБ должна распределяться в следующем порядке:</w:t>
      </w:r>
    </w:p>
    <w:p w:rsidR="00182146" w:rsidRDefault="002E11FC">
      <w:pPr>
        <w:pStyle w:val="a3"/>
      </w:pPr>
      <w:r>
        <w:t>часть ее, которая определяется Советом Управляющих (но не более 20% всей чистой прибыли), перечисляется в общий резервный фонд (объем которого не должен превышать 100% уставного капитала);</w:t>
      </w:r>
    </w:p>
    <w:p w:rsidR="00182146" w:rsidRDefault="002E11FC">
      <w:pPr>
        <w:pStyle w:val="a3"/>
      </w:pPr>
      <w:r>
        <w:t>оставшаяся часть распределяется между держателями акций банка в соответствующей пропорции.</w:t>
      </w:r>
    </w:p>
    <w:p w:rsidR="00182146" w:rsidRDefault="002E11FC">
      <w:pPr>
        <w:pStyle w:val="a3"/>
      </w:pPr>
      <w:r>
        <w:t>Инструменты денежно-кредитной политики и операции ЕСЦБ</w:t>
      </w:r>
    </w:p>
    <w:p w:rsidR="00182146" w:rsidRDefault="002E11FC">
      <w:pPr>
        <w:pStyle w:val="a3"/>
      </w:pPr>
      <w:r>
        <w:t>В Уставе ЕСЦБ (статьи с 17 по 24) определены инструменты денежной политики и операции, осуществление которых позволит системе решить возложенные на нее задачи. Основные инструменты денежной политики ЕСЦБ: проведение операций на открытом рынке, регулирование дисконтной ставки путем проведения депозитно-ссудных сделок и установление минимальных резервных требований для кредитных институтов.</w:t>
      </w:r>
    </w:p>
    <w:p w:rsidR="00182146" w:rsidRDefault="002E11FC">
      <w:pPr>
        <w:pStyle w:val="a3"/>
      </w:pPr>
      <w:r>
        <w:t>Основной объект регулирования при проведении этих операций – ликвидность кредитных учреждений, которая непосредственно влияет на спрос и предложение денег в экономике, тем самым существенно воздействуя на темпы инфляции.</w:t>
      </w:r>
    </w:p>
    <w:p w:rsidR="00182146" w:rsidRDefault="002E11FC">
      <w:pPr>
        <w:pStyle w:val="a3"/>
      </w:pPr>
      <w:r>
        <w:t>Одинаковые для всех стран – участников «зоны евро» условия проведения этих операций дают информацию участникам денежного рынка об основных направлениях денежно-кредитной политики Европейского экономического и валютного союза и обеспечивают ее единство.</w:t>
      </w:r>
    </w:p>
    <w:p w:rsidR="00182146" w:rsidRDefault="002E11FC">
      <w:pPr>
        <w:pStyle w:val="a3"/>
      </w:pPr>
      <w:r>
        <w:t>К операциям ЕЭВС допускаются кредитные учреждения, отвечающие следующим квалификационным требованиям: устойчивость, эффективное управление, широкие операционные возможности. В список кредитных институтов, которые должны выполнять минимальные резервные требования, входят более 8 тысяч кредитных организаций Еврозоны, причем свыше 4 тысяч из них имеют доступ к депозитно-ссудным операциям, а около 3 тысяч участвуют в операциях по рефинансированию.</w:t>
      </w:r>
    </w:p>
    <w:p w:rsidR="00182146" w:rsidRDefault="002E11FC">
      <w:pPr>
        <w:pStyle w:val="a3"/>
      </w:pPr>
      <w:r>
        <w:t>Проведение операций на открытом рынке играет важную роль в денежно-кредитной политике ЕСЦБ с целью влияния на величину процентной ставки, управления общей ликвидностью денежного рынка и прогнозирования возможных трудностей в проведении денежной политики. Для проведения операций на открытом рынке в распоряжении ЕСЦБ находятся четыре финансовых инструмента. Самым важным из них являются операции по рефинансированию, применяемые на основе соответствующих соглашений о перепродаже кредитов или заложенных займов. ЕСЦБ может также осуществлять эмиссию долговых сертификатов, операции по обмену иностранной валюты и привлечение депозитов на ограниченный срок. Возможно также проведение операций на основе стандартных тендеров, срочных тендеров или двусторонних процедур.</w:t>
      </w:r>
    </w:p>
    <w:p w:rsidR="00182146" w:rsidRDefault="002E11FC">
      <w:pPr>
        <w:pStyle w:val="a3"/>
      </w:pPr>
      <w:r>
        <w:t>В зависимости от цели, повторяемости и принимаемых шагов, операции на открытом рынке, осуществляемые ЕСЦБ, можно подразделить на четыре основные категории:</w:t>
      </w:r>
    </w:p>
    <w:p w:rsidR="00182146" w:rsidRDefault="002E11FC">
      <w:pPr>
        <w:pStyle w:val="a3"/>
      </w:pPr>
      <w:r>
        <w:t>1. Главные операции рефинансирования играют центральную роль в регулировании процентных ставок, управлении объемом ликвидности на рынке и разъяснении смысла проводимой ЕЦБ кредитно-денежной политики. Именно эти операции обеспечивают основную часть рефинансирования частного сектора.</w:t>
      </w:r>
    </w:p>
    <w:p w:rsidR="00182146" w:rsidRDefault="002E11FC">
      <w:pPr>
        <w:pStyle w:val="a3"/>
      </w:pPr>
      <w:r>
        <w:t>Отличительные черты главных операций рефинансирования состоят в следующем:</w:t>
      </w:r>
    </w:p>
    <w:p w:rsidR="00182146" w:rsidRDefault="002E11FC">
      <w:pPr>
        <w:pStyle w:val="a3"/>
      </w:pPr>
      <w:r>
        <w:t>«работают» лишь в одном направлении, в сторону передачи частному сектору дополнительных ликвидных средств;</w:t>
      </w:r>
    </w:p>
    <w:p w:rsidR="00182146" w:rsidRDefault="002E11FC">
      <w:pPr>
        <w:pStyle w:val="a3"/>
      </w:pPr>
      <w:r>
        <w:t>проводятся регулярно, каждую неделю;</w:t>
      </w:r>
    </w:p>
    <w:p w:rsidR="00182146" w:rsidRDefault="002E11FC">
      <w:pPr>
        <w:pStyle w:val="a3"/>
      </w:pPr>
      <w:r>
        <w:t>имеют обычно срок погашения, составляющий две недели;</w:t>
      </w:r>
    </w:p>
    <w:p w:rsidR="00182146" w:rsidRDefault="002E11FC">
      <w:pPr>
        <w:pStyle w:val="a3"/>
      </w:pPr>
      <w:r>
        <w:t>операции осуществляются децентрализовано, через Национальные центральные банки;</w:t>
      </w:r>
    </w:p>
    <w:p w:rsidR="00182146" w:rsidRDefault="002E11FC">
      <w:pPr>
        <w:pStyle w:val="a3"/>
      </w:pPr>
      <w:r>
        <w:t>доступ к ним предоставляется на основе стандартных тендеров;</w:t>
      </w:r>
    </w:p>
    <w:p w:rsidR="00182146" w:rsidRDefault="002E11FC">
      <w:pPr>
        <w:pStyle w:val="a3"/>
      </w:pPr>
      <w:r>
        <w:t>все контрагенты, отвечающие общим критериям участия в тендерах, могут представлять заявки на участие в них;</w:t>
      </w:r>
    </w:p>
    <w:p w:rsidR="00182146" w:rsidRDefault="002E11FC">
      <w:pPr>
        <w:pStyle w:val="a3"/>
      </w:pPr>
      <w:r>
        <w:t>в качестве залога принимаются активы как первой так и второй категории.</w:t>
      </w:r>
    </w:p>
    <w:p w:rsidR="00182146" w:rsidRDefault="002E11FC">
      <w:pPr>
        <w:pStyle w:val="a3"/>
      </w:pPr>
      <w:r>
        <w:t>2. Долговременные операции рефинансирования призваны обеспечить требуемый уровень рефинансирования долгосрочных операций. Они не служат средством регулирования процентных ставок и предоставляются на основе текущих рыночных ставок, поэтому обычно проводятся тендеры на основе варьируемых процентных ставок. Лишь при исключительных обстоятельствах ЕСЦБ может проводить тендеры на основе фиксированных процентных ставок. Используя эти операции, ЕСЦБ не намерен оказывать какое-либо давление на денежный рынок, и будет выступать как обычный получатель ссудного процента. Объем этих операций ограничен и относительно невелик.</w:t>
      </w:r>
    </w:p>
    <w:p w:rsidR="00182146" w:rsidRDefault="002E11FC">
      <w:pPr>
        <w:pStyle w:val="a3"/>
      </w:pPr>
      <w:r>
        <w:t>Отличительные черты долговременных операций рефинансирования:</w:t>
      </w:r>
    </w:p>
    <w:p w:rsidR="00182146" w:rsidRDefault="002E11FC">
      <w:pPr>
        <w:pStyle w:val="a3"/>
      </w:pPr>
      <w:r>
        <w:t>служат средством предоставления ликвидности;</w:t>
      </w:r>
    </w:p>
    <w:p w:rsidR="00182146" w:rsidRDefault="002E11FC">
      <w:pPr>
        <w:pStyle w:val="a3"/>
      </w:pPr>
      <w:r>
        <w:t>проводятся регулярно, каждый месяц;</w:t>
      </w:r>
    </w:p>
    <w:p w:rsidR="00182146" w:rsidRDefault="002E11FC">
      <w:pPr>
        <w:pStyle w:val="a3"/>
      </w:pPr>
      <w:r>
        <w:t>имеют обычно срок погашения, составляющий три месяца;</w:t>
      </w:r>
    </w:p>
    <w:p w:rsidR="00182146" w:rsidRDefault="002E11FC">
      <w:pPr>
        <w:pStyle w:val="a3"/>
      </w:pPr>
      <w:r>
        <w:t>осуществляются децентрализовано, через Национальные центральные банки;</w:t>
      </w:r>
    </w:p>
    <w:p w:rsidR="00182146" w:rsidRDefault="002E11FC">
      <w:pPr>
        <w:pStyle w:val="a3"/>
      </w:pPr>
      <w:r>
        <w:t>проводятся на основе стандартных тендеров;</w:t>
      </w:r>
    </w:p>
    <w:p w:rsidR="00182146" w:rsidRDefault="002E11FC">
      <w:pPr>
        <w:pStyle w:val="a3"/>
      </w:pPr>
      <w:r>
        <w:t>все контрагенты, отвечающие общим критериям участия в тендерах, могут подавать заявки на участие в них;</w:t>
      </w:r>
    </w:p>
    <w:p w:rsidR="00182146" w:rsidRDefault="002E11FC">
      <w:pPr>
        <w:pStyle w:val="a3"/>
      </w:pPr>
      <w:r>
        <w:t>в качестве залога, в принципе, могут приниматься активы и первой, и второй категорий. Однако с согласия Совета Управляющих ЕЦБ Национальные центральные банки имеют право накладывать определенные ограничения, касающиеся как размера, так и состава залога.</w:t>
      </w:r>
    </w:p>
    <w:p w:rsidR="00182146" w:rsidRDefault="002E11FC">
      <w:pPr>
        <w:pStyle w:val="a3"/>
      </w:pPr>
      <w:r>
        <w:t>3. Обратные операции «точной настройки» проводятся с использованием инструмента обратных трансакций (путем проведения дополнительных обратных сделок, продажи и покупки активов на условиях простых форвардных сделок), кроме того, ЕСЦБ может принимать вклады и проводить валютные операции «своп». Цель данных операций – оказать воздействие на положение с ликвидностью на рынке и процентные ставки, в частности, чтобы сгладить влияние неожиданных изменений в объеме ликвидности на рынке на процентные ставки. Потенциальная важность быстрых действий обусловливает стремление ЕСЦБ сохранить высокую степень гибкости в выборе процедур и конкретных форм данного типа операций.</w:t>
      </w:r>
    </w:p>
    <w:p w:rsidR="00182146" w:rsidRDefault="002E11FC">
      <w:pPr>
        <w:pStyle w:val="a3"/>
      </w:pPr>
      <w:r>
        <w:t>Обратные операции «точной настройки» имеют следующие особенности:</w:t>
      </w:r>
    </w:p>
    <w:p w:rsidR="00182146" w:rsidRDefault="002E11FC">
      <w:pPr>
        <w:pStyle w:val="a3"/>
      </w:pPr>
      <w:r>
        <w:t>могут применяться как для предоставления, так и для изъятия ликвидных средств;</w:t>
      </w:r>
    </w:p>
    <w:p w:rsidR="00182146" w:rsidRDefault="002E11FC">
      <w:pPr>
        <w:pStyle w:val="a3"/>
      </w:pPr>
      <w:r>
        <w:t>могут быть как регулярными, так и не регулярными;</w:t>
      </w:r>
    </w:p>
    <w:p w:rsidR="00182146" w:rsidRDefault="002E11FC">
      <w:pPr>
        <w:pStyle w:val="a3"/>
      </w:pPr>
      <w:r>
        <w:t>имеют срок погашения априори, который не регламентируется;</w:t>
      </w:r>
    </w:p>
    <w:p w:rsidR="00182146" w:rsidRDefault="002E11FC">
      <w:pPr>
        <w:pStyle w:val="a3"/>
      </w:pPr>
      <w:r>
        <w:t>операции, имеющие целью предоставление ликвидности, обычно проводятся на основе быстрых тендеров, хотя при этом не исключена и возможность применения двусторонних процедур;</w:t>
      </w:r>
    </w:p>
    <w:p w:rsidR="00182146" w:rsidRDefault="002E11FC">
      <w:pPr>
        <w:pStyle w:val="a3"/>
      </w:pPr>
      <w:r>
        <w:t>операции, имеющие целью поглощение ликвидности, как правило, проводятся через двусторонние процедуры;</w:t>
      </w:r>
    </w:p>
    <w:p w:rsidR="00182146" w:rsidRDefault="002E11FC">
      <w:pPr>
        <w:pStyle w:val="a3"/>
      </w:pPr>
      <w:r>
        <w:t>обычно осуществляются децентрализованно, через Национальные центральные банки (при исключительных обстоятельствах Совет Управляющих ЕЦБ может принять решение о проведении двусторонних обменных операций непосредственно ЕЦБ);</w:t>
      </w:r>
    </w:p>
    <w:p w:rsidR="00182146" w:rsidRDefault="002E11FC">
      <w:pPr>
        <w:pStyle w:val="a3"/>
      </w:pPr>
      <w:r>
        <w:t>ЕСЦБ может отобрать ограниченное число контрагентов для проведения данного типа операций;</w:t>
      </w:r>
    </w:p>
    <w:p w:rsidR="00182146" w:rsidRDefault="002E11FC">
      <w:pPr>
        <w:pStyle w:val="a3"/>
      </w:pPr>
      <w:r>
        <w:t>в качестве залога принимаются активы как первой, так и второй категории.</w:t>
      </w:r>
    </w:p>
    <w:p w:rsidR="00182146" w:rsidRDefault="002E11FC">
      <w:pPr>
        <w:pStyle w:val="a3"/>
      </w:pPr>
      <w:r>
        <w:t>4. Структурные обратные операции относятся к прерогативе ЕСЦБ и осуществляются путем эмиссии долговых сертификатов, обратных сделок, покупки и продажи активов на условиях простого форварда. Эти операции проводятся на открытом рынке с целью корректировки структурного положения ЕСЦБ в отношении частного сектора.</w:t>
      </w:r>
    </w:p>
    <w:p w:rsidR="00182146" w:rsidRDefault="002E11FC">
      <w:pPr>
        <w:pStyle w:val="a3"/>
      </w:pPr>
      <w:r>
        <w:t>Они характеризуются следующими моментами:</w:t>
      </w:r>
    </w:p>
    <w:p w:rsidR="00182146" w:rsidRDefault="002E11FC">
      <w:pPr>
        <w:pStyle w:val="a3"/>
      </w:pPr>
      <w:r>
        <w:t>осуществляются с целью предоставления ликвидности;</w:t>
      </w:r>
    </w:p>
    <w:p w:rsidR="00182146" w:rsidRDefault="002E11FC">
      <w:pPr>
        <w:pStyle w:val="a3"/>
      </w:pPr>
      <w:r>
        <w:t>проводятся регулярно или не регулярно;</w:t>
      </w:r>
    </w:p>
    <w:p w:rsidR="00182146" w:rsidRDefault="002E11FC">
      <w:pPr>
        <w:pStyle w:val="a3"/>
      </w:pPr>
      <w:r>
        <w:t>имеют срок погашения, который априори не регламентируется;</w:t>
      </w:r>
    </w:p>
    <w:p w:rsidR="00182146" w:rsidRDefault="002E11FC">
      <w:pPr>
        <w:pStyle w:val="a3"/>
      </w:pPr>
      <w:r>
        <w:t>проводятся на основе стандартных тендеров;</w:t>
      </w:r>
    </w:p>
    <w:p w:rsidR="00182146" w:rsidRDefault="002E11FC">
      <w:pPr>
        <w:pStyle w:val="a3"/>
      </w:pPr>
      <w:r>
        <w:t>осуществляются децентрализованно, через Национальные центральные банки;</w:t>
      </w:r>
    </w:p>
    <w:p w:rsidR="00182146" w:rsidRDefault="002E11FC">
      <w:pPr>
        <w:pStyle w:val="a3"/>
      </w:pPr>
      <w:r>
        <w:t>все контрагенты, отвечающие общим критериям, могут подавать заявки на участие в данном типе операций;</w:t>
      </w:r>
    </w:p>
    <w:p w:rsidR="00182146" w:rsidRDefault="002E11FC">
      <w:pPr>
        <w:pStyle w:val="a3"/>
      </w:pPr>
      <w:r>
        <w:t>в качестве залога принимаются активы как первой, так и второй категории.</w:t>
      </w:r>
    </w:p>
    <w:p w:rsidR="00182146" w:rsidRDefault="002E11FC">
      <w:pPr>
        <w:pStyle w:val="a3"/>
      </w:pPr>
      <w:r>
        <w:t>Активы первого класса включают рыночные долговые инструменты, удовлетворяющие общим критериям надежности, установленным ЕЦБ для всей «зоны евро». Активы второго класса – это рыночные и нерыночные долговые инструменты, ценные бумаги и нерыночные финансовые инструменты, критерии надежности которых устанавливаются Национальными центральными банками в соответствии с требованиями ЕЦБ.</w:t>
      </w:r>
    </w:p>
    <w:p w:rsidR="00182146" w:rsidRDefault="002E11FC">
      <w:pPr>
        <w:pStyle w:val="a3"/>
      </w:pPr>
      <w:r>
        <w:t>С точки зрения надежности при проведении денежной политики различий между инструментами обоих классов нет (за исключением того, что активы второго класса не используются ЕЭВС в простых форвардных сделках). Основная часть активов (75%), используемых в операциях ЕЭВС, представлена правительственными ценными бумагами; на ценные бумаги, выпущенные кредитными учреждениями, приходится 18%, корпоративным сектором – 4%; оставшиеся 3% выпущены национальными центральными банками.</w:t>
      </w:r>
    </w:p>
    <w:p w:rsidR="00182146" w:rsidRDefault="002E11FC">
      <w:pPr>
        <w:pStyle w:val="a3"/>
      </w:pPr>
      <w:r>
        <w:t>Ставка по первой основной операции рефинансирования была установлена в 3%. В настоящее время (с 11 октября 2000г.) эта величина составляет 4, 75%.</w:t>
      </w:r>
    </w:p>
    <w:p w:rsidR="00182146" w:rsidRDefault="002E11FC">
      <w:pPr>
        <w:pStyle w:val="a3"/>
      </w:pPr>
      <w:r>
        <w:t>Специфические черты имеют и депозитно-ссудные операции ЕСЦБ, которые играют важную роль в регулировании ликвидности банковских институтов. ЕСЦБ предлагает два постоянно действующих вида операций:</w:t>
      </w:r>
    </w:p>
    <w:p w:rsidR="00182146" w:rsidRDefault="002E11FC">
      <w:pPr>
        <w:pStyle w:val="a3"/>
      </w:pPr>
      <w:r>
        <w:t>«дополнительные кредитные операции», позволяющие кредитным институтам привлечь предельный кредит овернайт НЦБ с целью достижения необходимого уровня дневной ликвидности против залога собственных активов с заранее установленной процентной ставкой (процентная ставка в этом случае будет максимально возможной для данного рынка однодневных кредитов);</w:t>
      </w:r>
    </w:p>
    <w:p w:rsidR="00182146" w:rsidRDefault="002E11FC">
      <w:pPr>
        <w:pStyle w:val="a3"/>
      </w:pPr>
      <w:r>
        <w:t>«депозитные операции», дающие возможность банковским институтам размещать на счетах НЦБ депозиты овернайт с начислением процентов по заранее установленной процентной ставке (следует отметить, что заработать на этом удастся немного – процентная ставка опустится до отметки, минимально возможной для данного рынка).</w:t>
      </w:r>
    </w:p>
    <w:p w:rsidR="00182146" w:rsidRDefault="002E11FC">
      <w:pPr>
        <w:pStyle w:val="a3"/>
      </w:pPr>
      <w:r>
        <w:t>Данные операции следует рассматривать во взаимосвязи, как единую систему, посредством которой кредитные учреждения могут пополнять свою ликвидность или, напротив, уменьшать ее в краткосрочном плане на условиях овернайт.</w:t>
      </w:r>
    </w:p>
    <w:p w:rsidR="00182146" w:rsidRDefault="002E11FC">
      <w:pPr>
        <w:pStyle w:val="a3"/>
      </w:pPr>
      <w:r>
        <w:t>Депозитно-ссудные операции ЕЦБ проводятся по инициативе банковских институтов. При проведении антиинфляционной политики ЕСЦБ опирается и на такой инструмент, как минимальные резервные требования к кредитным учреждениям. Эти требования выполняют две взаимосвязанные функции: стабилизации процентных ставок денежного рынка и оказания влияния на структуру ликвидности банковской системы. Механизм минимальных резервных требований оставляет значительные возможности для регулирования ликвидной позиции банков рыночными методами на ежедневной основе, позволяет проводить краткосрочные арбитражные операции и поддерживать необходимый уровень прибыльности. Это достигается тем, что резервные требования ЕСЦБ к кредитным учреждениям должны быть выполнены исходя из средней за месяц, а не ежедневной позиции. При этом соответствующий месяц начинается с 24-го календарного дня каждого месяца и заканчивается на 23-й день следующего месяца.</w:t>
      </w:r>
    </w:p>
    <w:p w:rsidR="00182146" w:rsidRDefault="002E11FC">
      <w:pPr>
        <w:pStyle w:val="a3"/>
      </w:pPr>
      <w:r>
        <w:t>Система минимальных резервных требований, функционирующая в странах «зоны евро», опирается на следующие принципы:</w:t>
      </w:r>
    </w:p>
    <w:p w:rsidR="00182146" w:rsidRDefault="002E11FC">
      <w:pPr>
        <w:pStyle w:val="a3"/>
      </w:pPr>
      <w:r>
        <w:t>Во-первых, резервные требования применяются ко всем кредитным институтам.</w:t>
      </w:r>
    </w:p>
    <w:p w:rsidR="00182146" w:rsidRDefault="002E11FC">
      <w:pPr>
        <w:pStyle w:val="a3"/>
      </w:pPr>
      <w:r>
        <w:t>Во-вторых, резервное требование к каждому конкретному кредитному институту устанавливается путем применения резервной ставки (в настоящее время – 2%) к обязательствам в формах: 1) депозитов овернайт; 2) депозитов с согласованными сроками погашения или погашаемых при уведомлении со сроком до двух лет; 3) аналогичных в смысле срока погашения долговых ценных бумаг; 4) ценных бумаг денежного рынка.</w:t>
      </w:r>
    </w:p>
    <w:p w:rsidR="00182146" w:rsidRDefault="002E11FC">
      <w:pPr>
        <w:pStyle w:val="a3"/>
      </w:pPr>
      <w:r>
        <w:t>В-третьих, при установлении суммы резервных требований предусмотрен следующий порядок расчетов. Если кредитное учреждение не в состоянии представить подтверждение по сумме обязательств в форме долговых ценных бумаг со сроком до двух лет и ценных бумаг денежного рынка, разрешается применять стандартный расчет исходя из 10% от суммы вышеуказанных обязательств. При исчислении конечного резервного требования каждый кредитный институт может сделать вычет из полученного по закону результата в размере 100 тысяч евро. На хранящиеся на счетах ЕСЦБ обязательные резервы начисляются проценты на уровне средней ставки для основных операций по рефинансированию, - т. е. в соответствии с рыночными условиями.</w:t>
      </w:r>
    </w:p>
    <w:p w:rsidR="00182146" w:rsidRDefault="002E11FC">
      <w:pPr>
        <w:pStyle w:val="a3"/>
      </w:pPr>
      <w:r>
        <w:t>В-четвертых, кредитный институт вправе обратиться к Национальному центральному банку страны – члена ЕСЦБ, для которой он является резидентом, за разрешением выполнять резервные требования через посредника.</w:t>
      </w:r>
    </w:p>
    <w:p w:rsidR="00182146" w:rsidRDefault="002E11FC">
      <w:pPr>
        <w:pStyle w:val="a3"/>
      </w:pPr>
      <w:r>
        <w:t>Проведение ЕСЦБ комплексной антиинфляционной политики позволило обеспечить стабильность цен при переходе к единой валюте. С января по май 1999г. в государствах «зоны евро» темп роста цен на потребительские товары составлял 1% в годовой исчислении, тогда как в США – 2, 1%, в Канаде – 1, 5%, а в среднем для группы индустриальных стран – 1, 2%. Существенное повышение роли операций с ценными бумагами в рамках системы, особенно их активное использование в качестве обеспечения, свидетельствует о том, что при проведении операций первостепенное внимание уделяется надежности. Это создает психологический климат уверенности на денежном и финансовом рынках, что объективно снижает инфляционные ожидания в экономике.</w:t>
      </w:r>
      <w:bookmarkStart w:id="0" w:name="_GoBack"/>
      <w:bookmarkEnd w:id="0"/>
    </w:p>
    <w:sectPr w:rsidR="0018214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11FC"/>
    <w:rsid w:val="00182146"/>
    <w:rsid w:val="002E11FC"/>
    <w:rsid w:val="00763A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F0FED87-E1D2-4567-B46F-BC6F55C8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5015</Words>
  <Characters>28588</Characters>
  <Application>Microsoft Office Word</Application>
  <DocSecurity>0</DocSecurity>
  <Lines>238</Lines>
  <Paragraphs>67</Paragraphs>
  <ScaleCrop>false</ScaleCrop>
  <Company>diakov.net</Company>
  <LinksUpToDate>false</LinksUpToDate>
  <CharactersWithSpaces>33536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Европейская система центральных банков (ЕСЦБ)</dc:title>
  <dc:subject/>
  <dc:creator>Irina</dc:creator>
  <cp:keywords/>
  <dc:description/>
  <cp:lastModifiedBy>Irina</cp:lastModifiedBy>
  <cp:revision>2</cp:revision>
  <dcterms:created xsi:type="dcterms:W3CDTF">2014-07-19T03:20:00Z</dcterms:created>
  <dcterms:modified xsi:type="dcterms:W3CDTF">2014-07-19T03:20:00Z</dcterms:modified>
</cp:coreProperties>
</file>