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7C9" w:rsidRDefault="00287F77">
      <w:pPr>
        <w:pStyle w:val="1"/>
        <w:jc w:val="center"/>
      </w:pPr>
      <w:r>
        <w:t>Учет расходов на создание сайта и программ для ЭВМ в бюджетном и автономном учреждении</w:t>
      </w:r>
    </w:p>
    <w:p w:rsidR="009527C9" w:rsidRPr="00287F77" w:rsidRDefault="00287F77">
      <w:pPr>
        <w:pStyle w:val="a3"/>
      </w:pPr>
      <w:r>
        <w:t>Издательство «Гарант-Пресс»</w:t>
      </w:r>
    </w:p>
    <w:p w:rsidR="009527C9" w:rsidRDefault="00287F77">
      <w:pPr>
        <w:pStyle w:val="a3"/>
      </w:pPr>
      <w:r>
        <w:t>Некоторые учреждения создают в Интернете свои сайты. Как правило, на них находится общая информация о самом учреждении, ее структуре, видах деятельности, управляющих органах. При отражении расходов на разработку сайтов нужно учитывать несколько немаловажных нюансов.</w:t>
      </w:r>
    </w:p>
    <w:p w:rsidR="009527C9" w:rsidRDefault="00287F77">
      <w:pPr>
        <w:pStyle w:val="a3"/>
      </w:pPr>
      <w:r>
        <w:t>Сам по себе сайт является компьютерной программой. Это следует из статьи 1261 Гражданского кодекса. Исключительные права на программу для ЭВМ, изготовленную третьими лицами (разработчиками-подрядчиками), принадлежат заказчику . Если, конечно, иное не предусмотрено договором на разработку сайта.</w:t>
      </w:r>
    </w:p>
    <w:p w:rsidR="009527C9" w:rsidRDefault="00287F77">
      <w:pPr>
        <w:pStyle w:val="a3"/>
      </w:pPr>
      <w:r>
        <w:t>Соответственно, при наличии исключительных прав и при соблюдении всех требований Инструкции расходы на создание сайта отражают как нематериальный актив. При этом не имеет значения, сколько страниц сайта было создано. В любом случае все они учитываются как единый объект нематериальных активов.</w:t>
      </w:r>
    </w:p>
    <w:p w:rsidR="009527C9" w:rsidRDefault="00287F77">
      <w:pPr>
        <w:pStyle w:val="a3"/>
      </w:pPr>
      <w:r>
        <w:t>Когда сайт разрабатывается работниками самого учреждения в рамках трудовых отношений с ними, исключительные права на него принадлежат работодателю (то есть учреждению). Поэтому подобный сайт также отражают как НМА несмотря на то, что авторские права на него остаются за специалистами, которые участвовали в его разработке. Учреждение может и потерять права на сайт. Это произойдет, если в течение трех лет с момента создания сайта учреждение не начнет его фактическое использование, не передаст исключительные права на него другому лицу или не сообщит автору о сохранении программы в тайне.</w:t>
      </w:r>
    </w:p>
    <w:p w:rsidR="009527C9" w:rsidRDefault="00287F77">
      <w:pPr>
        <w:pStyle w:val="a3"/>
      </w:pPr>
      <w:r>
        <w:t>Права на компьютерные программы (в том числе сайты) обязательной госрегистрации не подлежат. Однако учреждению необходимо оповестить пользователей программы или посетителей сайта о своих исключительных правах. Для этого следует разместить в программной оболочке или на странице сайта букву «с» в круге, написать год создания программы (сайта) и название учреждения-право обладателя.</w:t>
      </w:r>
    </w:p>
    <w:p w:rsidR="009527C9" w:rsidRDefault="00287F77">
      <w:pPr>
        <w:pStyle w:val="a3"/>
      </w:pPr>
      <w:r>
        <w:t>Отметим, что во многих случаях исключительное право на программы для ЭВМ остается у компании-разработчика. Учреждение-покупатель получает лишь право пользования программой. Поэтому такое право, как нефинансовый актив (НМА), не учитывают. Затраты на приобретение неисключительного права пользования в течение нескольких отчетных периодов лицензионным программным обеспечением, исключительные права на которое остаются у разработчика, отражают в составе расходов будущих периодов (п. 302 Инструкции) с последующим равномерным отражением в составе затрат учреждения текущего финансового года. При этом стоимость неисключительных прав отражают увеличением по забалансовому счету 01 «Имущество полученное в пользование».</w:t>
      </w:r>
    </w:p>
    <w:p w:rsidR="009527C9" w:rsidRDefault="00287F77">
      <w:pPr>
        <w:pStyle w:val="a3"/>
      </w:pPr>
      <w:r>
        <w:t xml:space="preserve">Пример </w:t>
      </w:r>
    </w:p>
    <w:p w:rsidR="009527C9" w:rsidRDefault="00287F77">
      <w:pPr>
        <w:pStyle w:val="a3"/>
      </w:pPr>
      <w:r>
        <w:t>В конце декабря текущего года за счет субсидии на выполнение государственного задания учреждение приобрело неисключительные права на нематериальный актив (программу для ЭВМ). Стоимость прав — 276 120 руб. (НДС не облагается), срок предоставления — 18 месяцев. Для приобретения прав учреждение воспользовалось инфор мационно-консультационными услугами сторонней организации. На них было потрачено 17 700 руб. (в том числе НДС — 2700 руб.). Программа используется в деятельности учреждения, не облагаемой НДС. Согласно учетной политике учреждения РБП списываются равномерно в течение периода, к которому они относятся.</w:t>
      </w:r>
    </w:p>
    <w:p w:rsidR="009527C9" w:rsidRDefault="00287F77">
      <w:pPr>
        <w:pStyle w:val="a3"/>
      </w:pPr>
      <w:r>
        <w:t>Для упрощения примера забалансовый учет денежных средств учреждения не при водится.</w:t>
      </w:r>
    </w:p>
    <w:p w:rsidR="009527C9" w:rsidRDefault="00287F77">
      <w:pPr>
        <w:pStyle w:val="a3"/>
      </w:pPr>
      <w:r>
        <w:t>Операции по приобретению неисключительных прав на программу для ЭВМ будут отражены записями:</w:t>
      </w:r>
    </w:p>
    <w:p w:rsidR="009527C9" w:rsidRDefault="00287F77">
      <w:pPr>
        <w:pStyle w:val="a3"/>
      </w:pPr>
      <w:r>
        <w:t>Дебет 4 401 50 226 Кредит 4 302 26 730</w:t>
      </w:r>
    </w:p>
    <w:p w:rsidR="009527C9" w:rsidRDefault="00287F77">
      <w:pPr>
        <w:pStyle w:val="a3"/>
      </w:pPr>
      <w:r>
        <w:t>– 276 120 руб. — отражены стоимость неисключительных прав и кредиторская задолженность перед правообладателем;</w:t>
      </w:r>
    </w:p>
    <w:p w:rsidR="009527C9" w:rsidRDefault="00287F77">
      <w:pPr>
        <w:pStyle w:val="a3"/>
      </w:pPr>
      <w:r>
        <w:t>Дебет 4 302 26 830 Кредит 4 201 11 610</w:t>
      </w:r>
    </w:p>
    <w:p w:rsidR="009527C9" w:rsidRDefault="00287F77">
      <w:pPr>
        <w:pStyle w:val="a3"/>
      </w:pPr>
      <w:r>
        <w:t>– 276 120 руб. — оплачена стоимость неисключительных прав с лицевого счета учреждения в казначействе;</w:t>
      </w:r>
    </w:p>
    <w:p w:rsidR="009527C9" w:rsidRDefault="00287F77">
      <w:pPr>
        <w:pStyle w:val="a3"/>
      </w:pPr>
      <w:r>
        <w:t>Дебет 01</w:t>
      </w:r>
    </w:p>
    <w:p w:rsidR="009527C9" w:rsidRDefault="00287F77">
      <w:pPr>
        <w:pStyle w:val="a3"/>
      </w:pPr>
      <w:r>
        <w:t>– 276 120 руб. — учтена стоимость неисключительных прав увеличением забалансового счета 01;</w:t>
      </w:r>
    </w:p>
    <w:p w:rsidR="009527C9" w:rsidRDefault="00287F77">
      <w:pPr>
        <w:pStyle w:val="a3"/>
      </w:pPr>
      <w:r>
        <w:t>Дебет 4 401 50 226 Кредит 4 302 26 730</w:t>
      </w:r>
    </w:p>
    <w:p w:rsidR="009527C9" w:rsidRDefault="00287F77">
      <w:pPr>
        <w:pStyle w:val="a3"/>
      </w:pPr>
      <w:r>
        <w:t>– 17 700 руб. — отражены стоимость информационно-консультационных услуг, связанных с приобретением неисключительных прав, и кредиторская задолженность перед исполнителем (с учетом «входного» НДС);</w:t>
      </w:r>
    </w:p>
    <w:p w:rsidR="009527C9" w:rsidRDefault="00287F77">
      <w:pPr>
        <w:pStyle w:val="a3"/>
      </w:pPr>
      <w:r>
        <w:t>Дебет 4 302 26 830 Кредит 4 201 11 610</w:t>
      </w:r>
    </w:p>
    <w:p w:rsidR="009527C9" w:rsidRDefault="00287F77">
      <w:pPr>
        <w:pStyle w:val="a3"/>
      </w:pPr>
      <w:r>
        <w:t>– 17 700 руб. — оплачена стоимость информационно-консультационных услуг, связанных с приобретением неисключительных прав с лицевого счета учреждения в казначействе.</w:t>
      </w:r>
    </w:p>
    <w:p w:rsidR="009527C9" w:rsidRDefault="00287F77">
      <w:pPr>
        <w:pStyle w:val="a3"/>
      </w:pPr>
      <w:r>
        <w:t>Общая сумма расходов будущих периодов составила:</w:t>
      </w:r>
    </w:p>
    <w:p w:rsidR="009527C9" w:rsidRDefault="00287F77">
      <w:pPr>
        <w:pStyle w:val="a3"/>
      </w:pPr>
      <w:r>
        <w:t>276 120 + 17 700 = 293 820 руб.</w:t>
      </w:r>
    </w:p>
    <w:p w:rsidR="009527C9" w:rsidRDefault="00287F77">
      <w:pPr>
        <w:pStyle w:val="a3"/>
      </w:pPr>
      <w:r>
        <w:t>Эта сумма будет учтена в строке 620 и отражена по строке 625 (со знаком «минус») баланса учреждения.</w:t>
      </w:r>
    </w:p>
    <w:p w:rsidR="009527C9" w:rsidRDefault="00287F77">
      <w:pPr>
        <w:pStyle w:val="a3"/>
      </w:pPr>
      <w:r>
        <w:t>Указанные расходы будут включаться в текущие затраты учреждения в течение 18 месяцев (срока, на который предоставлены исключительные права). Соответственно, ежемесячно учреждению нужно списывать:</w:t>
      </w:r>
    </w:p>
    <w:p w:rsidR="009527C9" w:rsidRDefault="00287F77">
      <w:pPr>
        <w:pStyle w:val="a3"/>
      </w:pPr>
      <w:r>
        <w:t>293 820 руб. : 18 мес. = 16 323, 33 руб.</w:t>
      </w:r>
    </w:p>
    <w:p w:rsidR="009527C9" w:rsidRDefault="00287F77">
      <w:pPr>
        <w:pStyle w:val="a3"/>
      </w:pPr>
      <w:r>
        <w:t>Списание РБП ежемесячно отражают записью:</w:t>
      </w:r>
    </w:p>
    <w:p w:rsidR="009527C9" w:rsidRDefault="00287F77">
      <w:pPr>
        <w:pStyle w:val="a3"/>
      </w:pPr>
      <w:r>
        <w:t>Дебет 4 109 60 226 (4 109 70 226 ...) Кредит 4 401 50 226</w:t>
      </w:r>
    </w:p>
    <w:p w:rsidR="009527C9" w:rsidRDefault="00287F77">
      <w:pPr>
        <w:pStyle w:val="a3"/>
      </w:pPr>
      <w:r>
        <w:t>– 16 323, 33 руб. — списана сумма РБП, приходящихся на один месяц.</w:t>
      </w:r>
    </w:p>
    <w:p w:rsidR="009527C9" w:rsidRDefault="00287F77">
      <w:pPr>
        <w:pStyle w:val="a3"/>
      </w:pPr>
      <w:r>
        <w:t>За 12 мес. отчетного года в состав текущих затрат учреждения будет включена сумма РБП в размере:</w:t>
      </w:r>
    </w:p>
    <w:p w:rsidR="009527C9" w:rsidRDefault="00287F77">
      <w:pPr>
        <w:pStyle w:val="a3"/>
      </w:pPr>
      <w:r>
        <w:t>16 323, 33 руб. × 12 мес. = 195 879, 96 руб.</w:t>
      </w:r>
    </w:p>
    <w:p w:rsidR="009527C9" w:rsidRDefault="00287F77">
      <w:pPr>
        <w:pStyle w:val="a3"/>
      </w:pPr>
      <w:r>
        <w:t>Сумма РБП, не списанная на конец года, составит:</w:t>
      </w:r>
    </w:p>
    <w:p w:rsidR="009527C9" w:rsidRDefault="00287F77">
      <w:pPr>
        <w:pStyle w:val="a3"/>
      </w:pPr>
      <w:r>
        <w:t>293 820 – 195 879, 96 = 97 940, 04 руб.</w:t>
      </w:r>
    </w:p>
    <w:p w:rsidR="009527C9" w:rsidRDefault="00287F77">
      <w:pPr>
        <w:pStyle w:val="a3"/>
      </w:pPr>
      <w:r>
        <w:t>Эта сумма будет учтена в строке 620 и отражена по строке 625 (со знаком «минус») баланса учреждения на конец отчетного года.</w:t>
      </w:r>
    </w:p>
    <w:p w:rsidR="009527C9" w:rsidRDefault="00287F77">
      <w:pPr>
        <w:pStyle w:val="a3"/>
      </w:pPr>
      <w:r>
        <w:t>Если из документов, которыми оформлены РБП, установить срок, в течение которого они должны быть списаны, невозможно, учреждение вправе определить его самостоятельно. Его утверждают приказом руководителя организации. При этом могут учитываться те или иные нормы гражданского законодательства. Например, в отношении неисключительных прав на результаты интеллектуальной деятельности обычно он определяется в 5 лет.</w:t>
      </w:r>
    </w:p>
    <w:p w:rsidR="009527C9" w:rsidRDefault="00287F77">
      <w:pPr>
        <w:pStyle w:val="a3"/>
      </w:pPr>
      <w:r>
        <w:t xml:space="preserve">Мнение специалиста </w:t>
      </w:r>
    </w:p>
    <w:p w:rsidR="009527C9" w:rsidRDefault="00287F77">
      <w:pPr>
        <w:pStyle w:val="a3"/>
      </w:pPr>
      <w:r>
        <w:t>Платежи за предоставленное право использования результатов интеллектуальной деятельности или средств индивидуализации, производимые в виде фиксированного разового платежа, должны отражаться в бухгалтерском учете учреждения (лицензиата) в качестве расходов будущих периодов (списываться в дебет счета 0 401 50 000 «Расходы будущих периодов»).</w:t>
      </w:r>
    </w:p>
    <w:p w:rsidR="009527C9" w:rsidRDefault="00287F77">
      <w:pPr>
        <w:pStyle w:val="a3"/>
      </w:pPr>
      <w:r>
        <w:t>Последующее отнесение данных сумм в дебет счетов 0 401 20 000, 0 109 00 000 должно осуществляться в течение срока действия договора в порядке, установленном учетной политикой (например ежемесячно в равных суммах). В том случае, когда лицензионным договором (соглашением) не предусмотрен конкретный срок использования учреждением программного продукта, учреждение самостоятельно устанавливает этот срок, руководствуясь при этом положениями гражданского законодательства (такие рекомендации, в частности, даны Минфином России для целей учета расходов при налогообложении прибыли в письмах от 02.02.2011 № 03-03-06/1/52, от 20.04.2009 № 03-03-06/2/88). В частности, в соответствии с п. 4 ст. 1235 ГК РФ срок, на который заключается лицензионный договор, не может превышать срок действия исключительного права на результат интеллектуальной деятельности или на средство индивидуализации. В случае, когда в лицензионном договоре срок его действия не определен, договор считается заключенным на пять лет, если ГК РФ не предусмотрено иное.</w:t>
      </w:r>
    </w:p>
    <w:p w:rsidR="009527C9" w:rsidRDefault="00287F77">
      <w:pPr>
        <w:pStyle w:val="a3"/>
      </w:pPr>
      <w:r>
        <w:t>А. Семенюк, эксперт службы Правового консалтинга ГАРАНТ</w:t>
      </w:r>
    </w:p>
    <w:p w:rsidR="009527C9" w:rsidRDefault="00287F77">
      <w:pPr>
        <w:pStyle w:val="a3"/>
      </w:pPr>
      <w:r>
        <w:t>В. Пименов, рецензент службы Правового консалтинга ГАРАНТ</w:t>
      </w:r>
      <w:bookmarkStart w:id="0" w:name="_GoBack"/>
      <w:bookmarkEnd w:id="0"/>
    </w:p>
    <w:sectPr w:rsidR="009527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F77"/>
    <w:rsid w:val="00287F77"/>
    <w:rsid w:val="009527C9"/>
    <w:rsid w:val="00CD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A0A54-CF1B-47C1-90B8-B1CC43482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1068</Words>
  <Characters>6090</Characters>
  <Application>Microsoft Office Word</Application>
  <DocSecurity>0</DocSecurity>
  <Lines>50</Lines>
  <Paragraphs>14</Paragraphs>
  <ScaleCrop>false</ScaleCrop>
  <Company>diakov.net</Company>
  <LinksUpToDate>false</LinksUpToDate>
  <CharactersWithSpaces>7144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расходов на создание сайта и программ для ЭВМ в бюджетном и автономном учреждении</dc:title>
  <dc:subject/>
  <dc:creator>Irina</dc:creator>
  <cp:keywords/>
  <dc:description/>
  <cp:lastModifiedBy>Irina</cp:lastModifiedBy>
  <cp:revision>2</cp:revision>
  <dcterms:created xsi:type="dcterms:W3CDTF">2014-07-19T03:20:00Z</dcterms:created>
  <dcterms:modified xsi:type="dcterms:W3CDTF">2014-07-19T03:20:00Z</dcterms:modified>
</cp:coreProperties>
</file>